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F3006C" w:rsidRPr="00181265" w:rsidP="00F05A39" w14:paraId="7448F647" w14:textId="509FB9B5">
      <w:pPr>
        <w:spacing w:after="222" w:line="259" w:lineRule="auto"/>
        <w:ind w:right="139"/>
        <w:jc w:val="center"/>
        <w:rPr>
          <w:bCs/>
          <w:sz w:val="28"/>
          <w:szCs w:val="28"/>
          <w:lang w:val="uk-UA"/>
        </w:rPr>
      </w:pPr>
      <w:r w:rsidRPr="00181265">
        <w:rPr>
          <w:bCs/>
          <w:sz w:val="28"/>
          <w:szCs w:val="28"/>
          <w:lang w:val="uk-UA"/>
        </w:rPr>
        <w:t xml:space="preserve">ОДЕСЬКА МІЖНАРОДНА АКАДЕМІЯ </w:t>
      </w:r>
    </w:p>
    <w:p w:rsidR="00751475" w:rsidRPr="00181265" w14:paraId="1AA4435A" w14:textId="2AB88B12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:rsidR="00751475" w:rsidRPr="00181265" w14:paraId="04BBEDEF" w14:textId="38A3ACBC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:rsidR="00F3006C" w:rsidRPr="00181265" w:rsidP="00F05A39" w14:paraId="6210E58D" w14:textId="403DC988">
      <w:pPr>
        <w:spacing w:after="68" w:line="360" w:lineRule="auto"/>
        <w:ind w:left="3969" w:right="236"/>
        <w:jc w:val="center"/>
        <w:rPr>
          <w:bCs/>
          <w:sz w:val="28"/>
          <w:szCs w:val="28"/>
          <w:lang w:val="uk-UA"/>
        </w:rPr>
      </w:pPr>
      <w:r w:rsidRPr="00181265">
        <w:rPr>
          <w:bCs/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>ЗАТВЕРДЖУЮ</w:t>
      </w:r>
      <w:r w:rsidRPr="00181265">
        <w:rPr>
          <w:bCs/>
          <w:sz w:val="28"/>
          <w:szCs w:val="28"/>
          <w:lang w:val="uk-UA"/>
        </w:rPr>
        <w:t>»</w:t>
      </w:r>
    </w:p>
    <w:p w:rsidR="00751475" w:rsidRPr="00181265" w:rsidP="00F05A39" w14:paraId="3B3920A9" w14:textId="19A6D52E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Ректор </w:t>
      </w:r>
      <w:r w:rsidRPr="00181265">
        <w:rPr>
          <w:sz w:val="28"/>
          <w:szCs w:val="28"/>
          <w:lang w:val="uk-UA"/>
        </w:rPr>
        <w:t>Одеської міжнародної академії</w:t>
      </w:r>
    </w:p>
    <w:p w:rsidR="00751475" w:rsidRPr="00181265" w:rsidP="00F05A39" w14:paraId="64B4EC26" w14:textId="522E2DCC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_______</w:t>
      </w:r>
      <w:r w:rsidRPr="00181265">
        <w:rPr>
          <w:sz w:val="28"/>
          <w:szCs w:val="28"/>
          <w:lang w:val="uk-UA"/>
        </w:rPr>
        <w:t>___</w:t>
      </w:r>
      <w:r w:rsidRPr="00181265">
        <w:rPr>
          <w:sz w:val="28"/>
          <w:szCs w:val="28"/>
          <w:lang w:val="uk-UA"/>
        </w:rPr>
        <w:t>_</w:t>
      </w:r>
      <w:r w:rsidRPr="00181265">
        <w:rPr>
          <w:sz w:val="28"/>
          <w:szCs w:val="28"/>
          <w:lang w:val="uk-UA"/>
        </w:rPr>
        <w:t xml:space="preserve">Аліреза ПАХЛЕВАНЗАДЕ </w:t>
      </w:r>
    </w:p>
    <w:p w:rsidR="00F3006C" w:rsidRPr="00181265" w:rsidP="00F05A39" w14:paraId="593CC299" w14:textId="7CD35343">
      <w:pPr>
        <w:spacing w:after="18" w:line="360" w:lineRule="auto"/>
        <w:ind w:left="3969" w:right="2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«__</w:t>
      </w:r>
      <w:r w:rsidRPr="00181265" w:rsidR="00751475">
        <w:rPr>
          <w:sz w:val="28"/>
          <w:szCs w:val="28"/>
          <w:lang w:val="uk-UA"/>
        </w:rPr>
        <w:t>_</w:t>
      </w:r>
      <w:r w:rsidRPr="00181265">
        <w:rPr>
          <w:sz w:val="28"/>
          <w:szCs w:val="28"/>
          <w:lang w:val="uk-UA"/>
        </w:rPr>
        <w:t>_»__________________202</w:t>
      </w:r>
      <w:r w:rsidRPr="00181265" w:rsidR="00751475">
        <w:rPr>
          <w:sz w:val="28"/>
          <w:szCs w:val="28"/>
          <w:lang w:val="uk-UA"/>
        </w:rPr>
        <w:t>3</w:t>
      </w:r>
      <w:r w:rsidRPr="00181265">
        <w:rPr>
          <w:sz w:val="28"/>
          <w:szCs w:val="28"/>
          <w:lang w:val="uk-UA"/>
        </w:rPr>
        <w:t xml:space="preserve"> р. </w:t>
      </w:r>
    </w:p>
    <w:p w:rsidR="00F3006C" w:rsidRPr="00181265" w:rsidP="00751475" w14:paraId="0B02501C" w14:textId="77777777">
      <w:pPr>
        <w:spacing w:after="18" w:line="259" w:lineRule="auto"/>
        <w:ind w:left="5103" w:right="215"/>
        <w:jc w:val="center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 </w:t>
      </w:r>
    </w:p>
    <w:p w:rsidR="00F3006C" w:rsidRPr="00181265" w:rsidP="00F05A39" w14:paraId="72C8048E" w14:textId="0E6AC059">
      <w:pPr>
        <w:spacing w:after="23" w:line="360" w:lineRule="auto"/>
        <w:ind w:left="2408"/>
        <w:rPr>
          <w:b/>
          <w:sz w:val="28"/>
          <w:szCs w:val="28"/>
          <w:lang w:val="uk-UA"/>
        </w:rPr>
      </w:pPr>
      <w:r w:rsidRPr="00181265">
        <w:rPr>
          <w:b/>
          <w:sz w:val="28"/>
          <w:szCs w:val="28"/>
          <w:lang w:val="uk-UA"/>
        </w:rPr>
        <w:t xml:space="preserve"> </w:t>
      </w:r>
    </w:p>
    <w:p w:rsidR="00F05A39" w:rsidRPr="00181265" w:rsidP="00F05A39" w14:paraId="3061D220" w14:textId="77777777">
      <w:pPr>
        <w:spacing w:after="23" w:line="360" w:lineRule="auto"/>
        <w:ind w:left="2408"/>
        <w:rPr>
          <w:sz w:val="28"/>
          <w:szCs w:val="28"/>
          <w:lang w:val="uk-UA"/>
        </w:rPr>
      </w:pPr>
    </w:p>
    <w:p w:rsidR="00647B2F" w:rsidRPr="00181265" w:rsidP="00F05A39" w14:paraId="1177CCD5" w14:textId="6CC17091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181265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ОСВІТНЯ ПРОГРАМА</w:t>
      </w:r>
    </w:p>
    <w:p w:rsidR="00751475" w:rsidRPr="00181265" w:rsidP="00F05A39" w14:paraId="31EADC17" w14:textId="372B79D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81265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курсів </w:t>
      </w:r>
      <w:r w:rsidRPr="00181265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підвищення кваліфікації</w:t>
      </w:r>
    </w:p>
    <w:p w:rsidR="00647B2F" w:rsidRPr="00181265" w:rsidP="002556EF" w14:paraId="57A73468" w14:textId="2DAF0911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181265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181265" w:rsidR="00A71041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Ветеринарна трансфузіологія</w:t>
      </w:r>
      <w:r w:rsidRPr="00181265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»</w:t>
      </w:r>
    </w:p>
    <w:p w:rsidR="00647B2F" w:rsidRPr="00181265" w:rsidP="00F05A39" w14:paraId="3F6D6C1A" w14:textId="0DDC21EB">
      <w:pPr>
        <w:spacing w:after="32" w:line="360" w:lineRule="auto"/>
        <w:ind w:right="2"/>
        <w:jc w:val="center"/>
        <w:rPr>
          <w:b/>
          <w:sz w:val="28"/>
          <w:szCs w:val="28"/>
          <w:lang w:val="uk-UA"/>
        </w:rPr>
      </w:pPr>
    </w:p>
    <w:tbl>
      <w:tblPr>
        <w:tblStyle w:val="TableGrid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520"/>
      </w:tblGrid>
      <w:tr w14:paraId="77A065AB" w14:textId="50BD074F" w:rsidTr="00F05A39">
        <w:tblPrEx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181265" w:rsidP="002556EF" w14:paraId="7105692A" w14:textId="14006DAD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F05A39" w:rsidRPr="00181265" w:rsidP="00F05A39" w14:paraId="7ECE3A90" w14:textId="2168194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 xml:space="preserve">21 </w:t>
            </w:r>
            <w:r w:rsidRPr="00181265" w:rsidR="00BF5622">
              <w:rPr>
                <w:sz w:val="28"/>
                <w:szCs w:val="28"/>
                <w:lang w:val="uk-UA"/>
              </w:rPr>
              <w:t>«</w:t>
            </w:r>
            <w:r w:rsidRPr="00181265">
              <w:rPr>
                <w:sz w:val="28"/>
                <w:szCs w:val="28"/>
                <w:lang w:val="uk-UA"/>
              </w:rPr>
              <w:t>Ветеринарна медицина</w:t>
            </w:r>
            <w:r w:rsidRPr="00181265" w:rsidR="00BF5622">
              <w:rPr>
                <w:sz w:val="28"/>
                <w:szCs w:val="28"/>
                <w:lang w:val="uk-UA"/>
              </w:rPr>
              <w:t>»</w:t>
            </w:r>
          </w:p>
        </w:tc>
      </w:tr>
      <w:tr w14:paraId="64454736" w14:textId="48A9907C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181265" w:rsidP="002556EF" w14:paraId="5F69433C" w14:textId="6F045CF2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181265" w:rsidP="00F05A39" w14:paraId="2C18CDB9" w14:textId="41ACE8B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 xml:space="preserve">211 </w:t>
            </w:r>
            <w:r w:rsidRPr="00181265" w:rsidR="00BF5622">
              <w:rPr>
                <w:sz w:val="28"/>
                <w:szCs w:val="28"/>
                <w:lang w:val="uk-UA"/>
              </w:rPr>
              <w:t>«</w:t>
            </w:r>
            <w:r w:rsidRPr="00181265">
              <w:rPr>
                <w:sz w:val="28"/>
                <w:szCs w:val="28"/>
                <w:lang w:val="uk-UA"/>
              </w:rPr>
              <w:t>Ветеринарна медицина</w:t>
            </w:r>
            <w:r w:rsidRPr="00181265" w:rsidR="00BF5622">
              <w:rPr>
                <w:sz w:val="28"/>
                <w:szCs w:val="28"/>
                <w:lang w:val="uk-UA"/>
              </w:rPr>
              <w:t>»</w:t>
            </w:r>
          </w:p>
        </w:tc>
      </w:tr>
      <w:tr w14:paraId="68692DFD" w14:textId="4E990288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181265" w:rsidP="002556EF" w14:paraId="50C9CA78" w14:textId="715FA19D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Категорія слухачів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181265" w:rsidP="00F05A39" w14:paraId="5F02EA74" w14:textId="1E66205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ветеринарні лікарі, науково-педагогічні працівники</w:t>
            </w:r>
          </w:p>
        </w:tc>
      </w:tr>
      <w:tr w14:paraId="3E86E7CE" w14:textId="0DE9562F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181265" w:rsidP="002556EF" w14:paraId="26163F4B" w14:textId="05A9795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181265" w:rsidP="00F05A39" w14:paraId="4B9C0E15" w14:textId="478D759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змішана</w:t>
            </w:r>
          </w:p>
        </w:tc>
      </w:tr>
      <w:tr w14:paraId="7DBE38D2" w14:textId="3CD520A2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181265" w:rsidP="002556EF" w14:paraId="58778F38" w14:textId="381F40E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181265" w:rsidP="00F05A39" w14:paraId="5751BAFF" w14:textId="6641103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1</w:t>
            </w:r>
            <w:r w:rsidRPr="00181265" w:rsidR="00936047">
              <w:rPr>
                <w:sz w:val="28"/>
                <w:szCs w:val="28"/>
                <w:lang w:val="uk-UA"/>
              </w:rPr>
              <w:t>5</w:t>
            </w:r>
            <w:r w:rsidRPr="00181265">
              <w:rPr>
                <w:sz w:val="28"/>
                <w:szCs w:val="28"/>
                <w:lang w:val="uk-UA"/>
              </w:rPr>
              <w:t>0</w:t>
            </w:r>
          </w:p>
        </w:tc>
      </w:tr>
      <w:tr w14:paraId="07980EA1" w14:textId="757FA1CC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181265" w:rsidP="002556EF" w14:paraId="0596DC8F" w14:textId="516171C4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>Термін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181265" w:rsidP="00F05A39" w14:paraId="3C6F1528" w14:textId="30A2403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81265">
              <w:rPr>
                <w:sz w:val="28"/>
                <w:szCs w:val="28"/>
                <w:lang w:val="uk-UA"/>
              </w:rPr>
              <w:t xml:space="preserve">5 </w:t>
            </w:r>
            <w:r w:rsidRPr="00181265">
              <w:rPr>
                <w:sz w:val="28"/>
                <w:szCs w:val="28"/>
                <w:lang w:val="uk-UA"/>
              </w:rPr>
              <w:t>тижні</w:t>
            </w:r>
            <w:r w:rsidRPr="00181265"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83692D" w:rsidRPr="00181265" w14:paraId="5C853259" w14:textId="7CE97537">
      <w:pPr>
        <w:spacing w:after="32" w:line="259" w:lineRule="auto"/>
        <w:ind w:right="2"/>
        <w:jc w:val="center"/>
        <w:rPr>
          <w:b/>
          <w:sz w:val="28"/>
          <w:szCs w:val="28"/>
          <w:lang w:val="uk-UA"/>
        </w:rPr>
      </w:pPr>
    </w:p>
    <w:p w:rsidR="00647B2F" w:rsidRPr="00181265" w:rsidP="0083692D" w14:paraId="0BDE604A" w14:textId="19125087">
      <w:pPr>
        <w:spacing w:after="23" w:line="259" w:lineRule="auto"/>
        <w:jc w:val="both"/>
        <w:rPr>
          <w:sz w:val="28"/>
          <w:szCs w:val="28"/>
          <w:lang w:val="uk-UA"/>
        </w:rPr>
      </w:pPr>
    </w:p>
    <w:p w:rsidR="00F05A39" w:rsidRPr="00181265" w:rsidP="00F05A39" w14:paraId="6179BBBA" w14:textId="77777777">
      <w:pPr>
        <w:spacing w:after="220" w:line="259" w:lineRule="auto"/>
        <w:ind w:left="69"/>
        <w:jc w:val="center"/>
        <w:rPr>
          <w:sz w:val="28"/>
          <w:szCs w:val="28"/>
          <w:lang w:val="uk-UA"/>
        </w:rPr>
      </w:pPr>
    </w:p>
    <w:p w:rsidR="00F05A39" w:rsidRPr="00181265" w:rsidP="00F05A39" w14:paraId="48876AEB" w14:textId="1623B021">
      <w:pPr>
        <w:spacing w:after="222" w:line="259" w:lineRule="auto"/>
        <w:ind w:left="386" w:right="378"/>
        <w:jc w:val="center"/>
        <w:rPr>
          <w:b/>
          <w:sz w:val="28"/>
          <w:szCs w:val="28"/>
          <w:lang w:val="uk-UA"/>
        </w:rPr>
      </w:pPr>
      <w:r w:rsidRPr="00181265">
        <w:rPr>
          <w:b/>
          <w:sz w:val="28"/>
          <w:szCs w:val="28"/>
          <w:lang w:val="uk-UA"/>
        </w:rPr>
        <w:t xml:space="preserve">Одеса, </w:t>
      </w:r>
      <w:r w:rsidRPr="00181265" w:rsidR="006D4D37">
        <w:rPr>
          <w:b/>
          <w:sz w:val="28"/>
          <w:szCs w:val="28"/>
          <w:lang w:val="uk-UA"/>
        </w:rPr>
        <w:t>202</w:t>
      </w:r>
      <w:r w:rsidRPr="00181265">
        <w:rPr>
          <w:b/>
          <w:sz w:val="28"/>
          <w:szCs w:val="28"/>
          <w:lang w:val="uk-UA"/>
        </w:rPr>
        <w:t>3 рік</w:t>
      </w:r>
      <w:r w:rsidRPr="00181265">
        <w:rPr>
          <w:b/>
          <w:sz w:val="28"/>
          <w:szCs w:val="28"/>
          <w:lang w:val="uk-UA"/>
        </w:rPr>
        <w:br w:type="page"/>
      </w:r>
    </w:p>
    <w:p w:rsidR="00BF5622" w:rsidRPr="00181265" w:rsidP="00722EA8" w14:paraId="3781F258" w14:textId="271D4F5D">
      <w:pPr>
        <w:ind w:left="-5" w:right="314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Освітню програму схвалено на засіданні Вченої ради Одеської міжнародної академії  протокол №___ від «___»________________2023 р. </w:t>
      </w:r>
    </w:p>
    <w:p w:rsidR="00BF5622" w:rsidRPr="00181265" w:rsidP="00722EA8" w14:paraId="0F3AF503" w14:textId="77777777">
      <w:pPr>
        <w:spacing w:after="18" w:line="259" w:lineRule="auto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 </w:t>
      </w:r>
    </w:p>
    <w:p w:rsidR="00BF5622" w:rsidRPr="00181265" w:rsidP="00722EA8" w14:paraId="63D61BCD" w14:textId="77777777">
      <w:pPr>
        <w:spacing w:after="18" w:line="259" w:lineRule="auto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  </w:t>
      </w:r>
    </w:p>
    <w:p w:rsidR="00F3006C" w:rsidRPr="00181265" w:rsidP="00722EA8" w14:paraId="0F08AA84" w14:textId="7714F0DB">
      <w:pPr>
        <w:ind w:left="-5" w:right="314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Розробники</w:t>
      </w:r>
      <w:r w:rsidRPr="00181265" w:rsidR="00722EA8">
        <w:rPr>
          <w:sz w:val="28"/>
          <w:szCs w:val="28"/>
          <w:lang w:val="uk-UA"/>
        </w:rPr>
        <w:t>:</w:t>
      </w:r>
      <w:r w:rsidRPr="00181265">
        <w:rPr>
          <w:sz w:val="28"/>
          <w:szCs w:val="28"/>
          <w:lang w:val="uk-UA"/>
        </w:rPr>
        <w:t xml:space="preserve">  </w:t>
      </w:r>
    </w:p>
    <w:p w:rsidR="00F3006C" w:rsidRPr="00181265" w:rsidP="00722EA8" w14:paraId="126D3D5E" w14:textId="64C7F8CC">
      <w:pPr>
        <w:spacing w:after="21" w:line="259" w:lineRule="auto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81265" w:rsidR="006D4D37">
        <w:rPr>
          <w:sz w:val="28"/>
          <w:szCs w:val="28"/>
          <w:lang w:val="uk-UA"/>
        </w:rPr>
        <w:t xml:space="preserve"> </w:t>
      </w:r>
    </w:p>
    <w:p w:rsidR="00F3006C" w:rsidRPr="00181265" w:rsidP="00722EA8" w14:paraId="03D7ED75" w14:textId="77777777">
      <w:pPr>
        <w:spacing w:after="69" w:line="259" w:lineRule="auto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 </w:t>
      </w:r>
    </w:p>
    <w:p w:rsidR="005560E4" w:rsidRPr="00181265" w14:paraId="5EF770C4" w14:textId="77777777">
      <w:pPr>
        <w:rPr>
          <w:sz w:val="28"/>
          <w:szCs w:val="28"/>
          <w:lang w:val="uk-UA"/>
        </w:rPr>
      </w:pPr>
    </w:p>
    <w:p w:rsidR="005560E4" w:rsidRPr="00181265" w14:paraId="7485A550" w14:textId="77777777">
      <w:pPr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Рецензії-відгуки зовнішніх стейкхоледрів додаються.</w:t>
      </w:r>
    </w:p>
    <w:p w:rsidR="005560E4" w:rsidRPr="00181265" w14:paraId="6C27D07C" w14:textId="77777777">
      <w:pPr>
        <w:rPr>
          <w:sz w:val="28"/>
          <w:szCs w:val="28"/>
          <w:lang w:val="uk-UA"/>
        </w:rPr>
      </w:pPr>
    </w:p>
    <w:p w:rsidR="005560E4" w:rsidRPr="00181265" w14:paraId="4C405BAA" w14:textId="77777777">
      <w:pPr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br w:type="page"/>
      </w:r>
    </w:p>
    <w:p w:rsidR="005560E4" w:rsidRPr="00181265" w:rsidP="004574D3" w14:paraId="73D160D7" w14:textId="5E9D2CA8">
      <w:pPr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181265">
        <w:rPr>
          <w:b/>
          <w:bCs/>
          <w:sz w:val="28"/>
          <w:szCs w:val="28"/>
          <w:lang w:val="uk-UA"/>
        </w:rPr>
        <w:t xml:space="preserve">1. </w:t>
      </w:r>
      <w:r w:rsidRPr="00181265" w:rsidR="00242C39">
        <w:rPr>
          <w:b/>
          <w:bCs/>
          <w:sz w:val="28"/>
          <w:szCs w:val="28"/>
          <w:lang w:val="uk-UA"/>
        </w:rPr>
        <w:t>ЗАГАЛЬНІ ПОЛОЖЕННЯ</w:t>
      </w:r>
    </w:p>
    <w:p w:rsidR="005560E4" w:rsidRPr="00181265" w:rsidP="005560E4" w14:paraId="2B032259" w14:textId="6B9B005C">
      <w:pPr>
        <w:pStyle w:val="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1265">
        <w:rPr>
          <w:rFonts w:ascii="Times New Roman" w:hAnsi="Times New Roman"/>
          <w:b w:val="0"/>
          <w:sz w:val="28"/>
          <w:szCs w:val="28"/>
        </w:rPr>
        <w:t xml:space="preserve">Програма розроблена відповідно до вимог ПОЛОЖЕННЯ про післядипломну освіту та інші форми підвищення кваліфікації спеціалістів ветеринарної медицини (затвердженого постановою КМУ від 21 квітня 2023 р. № 379). </w:t>
      </w:r>
    </w:p>
    <w:p w:rsidR="005560E4" w:rsidRPr="00181265" w:rsidP="005560E4" w14:paraId="0F779B22" w14:textId="46DF2B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Метою підвищення кваліфікації спеціалістів ветеринарної медицини є їх професійний розвиток відповідно до державної політики у галузі ветеринарної медицини і задоволення потреб економіки та суспільства у працівниках із високим рівнем професіоналізму і культури, здатних компетентно та відповідально виконувати посадові обов’язки, впроваджувати новітні технології, сприяти інноваційним процесам у галузі ветеринарної медицини шляхом забезпечення їх безперервного навчання.</w:t>
      </w:r>
    </w:p>
    <w:p w:rsidR="005560E4" w:rsidRPr="00181265" w:rsidP="005560E4" w14:paraId="7A871DF9" w14:textId="2090D4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Завданнями післядипломної освіти та інших форм підвищення кваліфікації спеціалістів ветеринарної медицини є:</w:t>
      </w:r>
    </w:p>
    <w:p w:rsidR="005560E4" w:rsidRPr="00181265" w:rsidP="00633006" w14:paraId="2C95C342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законодавче та нормативно-правове врегулювання питань навчання як складової безперервної освіти і професійного розвитку;</w:t>
      </w:r>
    </w:p>
    <w:p w:rsidR="005560E4" w:rsidRPr="00181265" w:rsidP="00633006" w14:paraId="087080BD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визначення змісту навчання з урахуванням наступності, прогнозованості, послідовності, систематичності освітнього процесу, поточної ситуації та нових викликів, індивідуального досвіду, індивідуальних освітніх потреб, перспективи кар’єрного зростання та актуалізації результатів навчання;</w:t>
      </w:r>
    </w:p>
    <w:p w:rsidR="005560E4" w:rsidRPr="00181265" w:rsidP="00633006" w14:paraId="5F078A41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організація науково-методичного, кадрового, матеріально-технічного, інформаційного, фінансового забезпечення післядипломної освіти;</w:t>
      </w:r>
    </w:p>
    <w:p w:rsidR="005560E4" w:rsidRPr="00181265" w:rsidP="00633006" w14:paraId="3F4FD746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розробка та впровадження ефективних технологій безперервного навчання та вдосконалення фахових знань і умінь з урахуванням сучасних досягнень світової науки та практики;</w:t>
      </w:r>
    </w:p>
    <w:p w:rsidR="005560E4" w:rsidRPr="00181265" w:rsidP="00633006" w14:paraId="75027556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забезпечення безперервного навчання шляхом впровадження відповідних видів навчальних занять і форм організації освітнього процесу;</w:t>
      </w:r>
    </w:p>
    <w:p w:rsidR="005560E4" w:rsidRPr="00181265" w:rsidP="00633006" w14:paraId="7A5C6D6F" w14:textId="553BF6C8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постійна підтримка професійного рівня спеціалістів ветеринарної медицини відповідно до актуальних потреб та викликів галузі ветеринарної медицини, зокрема сприяння реалізації Стратегії забезпечення біологічної безпеки та біологічного захисту за принципом</w:t>
      </w:r>
      <w:r w:rsidRPr="00181265" w:rsidR="00FC4864">
        <w:rPr>
          <w:sz w:val="28"/>
          <w:szCs w:val="28"/>
          <w:lang w:val="uk-UA"/>
        </w:rPr>
        <w:t xml:space="preserve"> </w:t>
      </w:r>
      <w:r w:rsidRPr="00181265">
        <w:rPr>
          <w:sz w:val="28"/>
          <w:szCs w:val="28"/>
          <w:lang w:val="uk-UA"/>
        </w:rPr>
        <w:t xml:space="preserve"> </w:t>
      </w:r>
      <w:r w:rsidRPr="00181265" w:rsidR="00FC4864">
        <w:rPr>
          <w:sz w:val="28"/>
          <w:szCs w:val="28"/>
          <w:lang w:val="uk-UA"/>
        </w:rPr>
        <w:t>«Є</w:t>
      </w:r>
      <w:r w:rsidRPr="00181265">
        <w:rPr>
          <w:sz w:val="28"/>
          <w:szCs w:val="28"/>
          <w:lang w:val="uk-UA"/>
        </w:rPr>
        <w:t>дине здоров’я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 xml:space="preserve"> на період до 2025 року, схваленої розпорядженням Кабінету Міністрів України від 27 листопада 2019 р. № 1416 </w:t>
      </w:r>
      <w:r w:rsidRPr="00181265" w:rsidR="00FC4864">
        <w:rPr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 xml:space="preserve">Про схвалення Стратегії забезпечення біологічної безпеки та біологічного захисту за принципом </w:t>
      </w:r>
      <w:r w:rsidRPr="00181265" w:rsidR="00FC4864">
        <w:rPr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>єдине здоров’я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 xml:space="preserve"> на період до 2025 року та затвердження плану заходів щодо її реалізації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 xml:space="preserve"> (Офіційний вісник України, 2020 р., № 10, ст. 405).</w:t>
      </w:r>
    </w:p>
    <w:p w:rsidR="00633006" w:rsidRPr="00181265" w:rsidP="00633006" w14:paraId="28AD1624" w14:textId="0FA908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Здобуття післядипломної освіти та освіти за іншими формами підвищення кваліфікації спеціалістів ветеринарної медицини фельдшерами та молодшими бакалаврами ветеринарної медицини здійснюється у закладах фахової передвищої та вищої освіти, що провадять освітню діяльність за спеціальністю 211 </w:t>
      </w:r>
      <w:r w:rsidRPr="00181265" w:rsidR="00FC4864">
        <w:rPr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>Ветеринарна медицина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 xml:space="preserve">, лікарями ветеринарної медицини (бакалаврами, спеціалістами, магістрами) </w:t>
      </w:r>
      <w:r w:rsidRPr="00181265" w:rsidR="00FC4864">
        <w:rPr>
          <w:sz w:val="28"/>
          <w:szCs w:val="28"/>
          <w:lang w:val="uk-UA"/>
        </w:rPr>
        <w:t>–</w:t>
      </w:r>
      <w:r w:rsidRPr="00181265">
        <w:rPr>
          <w:sz w:val="28"/>
          <w:szCs w:val="28"/>
          <w:lang w:val="uk-UA"/>
        </w:rPr>
        <w:t xml:space="preserve"> у закладах вищої освіти, що провадять освітню діяльність за спеціальністю 211 </w:t>
      </w:r>
      <w:r w:rsidRPr="00181265" w:rsidR="00FC4864">
        <w:rPr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>Ветеринарна медицина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 xml:space="preserve"> та мають ліцензію на провадження освітньої діяльності у сфері післядипломної освіти і проводять освітню діяльність за галуззю знань 21 </w:t>
      </w:r>
      <w:r w:rsidRPr="00181265" w:rsidR="00FC4864">
        <w:rPr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>Ветеринарія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 xml:space="preserve"> та спеціальністю 211 </w:t>
      </w:r>
      <w:r w:rsidRPr="00181265" w:rsidR="00FC4864">
        <w:rPr>
          <w:sz w:val="28"/>
          <w:szCs w:val="28"/>
          <w:lang w:val="uk-UA"/>
        </w:rPr>
        <w:t>«</w:t>
      </w:r>
      <w:r w:rsidRPr="00181265">
        <w:rPr>
          <w:sz w:val="28"/>
          <w:szCs w:val="28"/>
          <w:lang w:val="uk-UA"/>
        </w:rPr>
        <w:t>Ветеринарна медицина</w:t>
      </w:r>
      <w:r w:rsidRPr="00181265" w:rsidR="00FC4864">
        <w:rPr>
          <w:sz w:val="28"/>
          <w:szCs w:val="28"/>
          <w:lang w:val="uk-UA"/>
        </w:rPr>
        <w:t>»</w:t>
      </w:r>
      <w:r w:rsidRPr="00181265">
        <w:rPr>
          <w:sz w:val="28"/>
          <w:szCs w:val="28"/>
          <w:lang w:val="uk-UA"/>
        </w:rPr>
        <w:t>, і є обов’язковим для провадження господарської діяльності суб’єктами господарювання з ветеринарної практики, виробництва ветеринарних лікарських засобів, оптової та роздрібної реалізації ветеринарних лікарських засобів, імпорту ветеринарних лікарських засобів.</w:t>
      </w:r>
    </w:p>
    <w:p w:rsidR="005560E4" w:rsidRPr="00181265" w:rsidP="00633006" w14:paraId="29AC3068" w14:textId="5C0C88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Загальний обсяг годин для здобуття післядипломної освіти спеціалістами ветеринарної медицини не може бути меншим, ніж 150 годин або 5 кредитів </w:t>
      </w:r>
      <w:r w:rsidRPr="00181265" w:rsidR="004574D3">
        <w:rPr>
          <w:sz w:val="28"/>
          <w:szCs w:val="28"/>
          <w:lang w:val="uk-UA"/>
        </w:rPr>
        <w:t xml:space="preserve">Європейської кредитної трансферно-накопичувальної системи (далі </w:t>
      </w:r>
      <w:r w:rsidRPr="00181265" w:rsidR="00FC4864">
        <w:rPr>
          <w:sz w:val="28"/>
          <w:szCs w:val="28"/>
          <w:lang w:val="uk-UA"/>
        </w:rPr>
        <w:t>–</w:t>
      </w:r>
      <w:r w:rsidRPr="00181265" w:rsidR="004574D3">
        <w:rPr>
          <w:sz w:val="28"/>
          <w:szCs w:val="28"/>
          <w:lang w:val="uk-UA"/>
        </w:rPr>
        <w:t xml:space="preserve"> ЄКТС)</w:t>
      </w:r>
      <w:r w:rsidRPr="00181265">
        <w:rPr>
          <w:sz w:val="28"/>
          <w:szCs w:val="28"/>
          <w:lang w:val="uk-UA"/>
        </w:rPr>
        <w:t xml:space="preserve"> за п’ять поточних років. Підвищення кваліфікації (обсягом не менш як 3 кредити </w:t>
      </w:r>
      <w:r w:rsidRPr="00181265" w:rsidR="004574D3">
        <w:rPr>
          <w:sz w:val="28"/>
          <w:szCs w:val="28"/>
          <w:lang w:val="uk-UA"/>
        </w:rPr>
        <w:t xml:space="preserve">ЄКТС </w:t>
      </w:r>
      <w:r w:rsidRPr="00181265">
        <w:rPr>
          <w:sz w:val="28"/>
          <w:szCs w:val="28"/>
          <w:lang w:val="uk-UA"/>
        </w:rPr>
        <w:t>проводиться не рідше одного разу на п’ять років за професійним спрямуванням виробничої діяльності і є обов’язковим для всіх працюючих спеціалістів ветеринарної медицини</w:t>
      </w:r>
      <w:r w:rsidRPr="00181265" w:rsidR="004574D3">
        <w:rPr>
          <w:sz w:val="28"/>
          <w:szCs w:val="28"/>
          <w:lang w:val="uk-UA"/>
        </w:rPr>
        <w:t>.</w:t>
      </w:r>
    </w:p>
    <w:p w:rsidR="005560E4" w:rsidRPr="00181265" w:rsidP="00633006" w14:paraId="52B310B0" w14:textId="0EF63A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Обсяг (тривалість) освітньої програми післядипломної освіти спеціалістів ветеринарної медицини з метою підвищення їх кваліфікації визначається відповідно до її фактичної тривалості в годинах без урахування самостійної (позааудиторної) роботи або в кредитах ЄКТС з урахуванням самостійної (позааудиторної) роботи.</w:t>
      </w:r>
    </w:p>
    <w:p w:rsidR="00242C39" w:rsidRPr="00181265" w:rsidP="00A30E25" w14:paraId="78EEC6A2" w14:textId="6BDE0EEB">
      <w:pPr>
        <w:tabs>
          <w:tab w:val="left" w:pos="142"/>
        </w:tabs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br w:type="page"/>
      </w:r>
      <w:r w:rsidRPr="00181265" w:rsidR="00A30E25">
        <w:rPr>
          <w:b/>
          <w:bCs/>
          <w:sz w:val="28"/>
          <w:szCs w:val="28"/>
          <w:lang w:val="uk-UA"/>
        </w:rPr>
        <w:t>2.</w:t>
      </w:r>
      <w:r w:rsidRPr="00181265" w:rsidR="00A30E25">
        <w:rPr>
          <w:sz w:val="28"/>
          <w:szCs w:val="28"/>
          <w:lang w:val="uk-UA"/>
        </w:rPr>
        <w:t xml:space="preserve"> </w:t>
      </w:r>
      <w:r w:rsidRPr="00181265">
        <w:rPr>
          <w:b/>
          <w:bCs/>
          <w:sz w:val="28"/>
          <w:szCs w:val="28"/>
          <w:lang w:val="uk-UA"/>
        </w:rPr>
        <w:t>ПОЯСНЮВАЛЬНА ЗАПИСКА</w:t>
      </w:r>
    </w:p>
    <w:p w:rsidR="00242C39" w:rsidRPr="00181265" w:rsidP="00242C39" w14:paraId="7B472A43" w14:textId="609A70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Актуальність освітньої програми з підвищення кваліфікації ветеринарних лікарів та науково-педагогічних працівників за спеціальністю 211 </w:t>
      </w:r>
      <w:r w:rsidRPr="00181265" w:rsidR="00FC4864">
        <w:rPr>
          <w:sz w:val="28"/>
          <w:szCs w:val="28"/>
          <w:lang w:val="uk-UA"/>
        </w:rPr>
        <w:t>–</w:t>
      </w:r>
      <w:r w:rsidRPr="00181265">
        <w:rPr>
          <w:sz w:val="28"/>
          <w:szCs w:val="28"/>
          <w:lang w:val="uk-UA"/>
        </w:rPr>
        <w:t xml:space="preserve"> «Ветеринарна медицина» галузь знань: 21 </w:t>
      </w:r>
      <w:r w:rsidRPr="00181265" w:rsidR="00FC4864">
        <w:rPr>
          <w:sz w:val="28"/>
          <w:szCs w:val="28"/>
          <w:lang w:val="uk-UA"/>
        </w:rPr>
        <w:t>–</w:t>
      </w:r>
      <w:r w:rsidRPr="00181265">
        <w:rPr>
          <w:sz w:val="28"/>
          <w:szCs w:val="28"/>
          <w:lang w:val="uk-UA"/>
        </w:rPr>
        <w:t xml:space="preserve"> «Ветеринарна медицина» у сфері післядипломної освіти для осіб з вищою освітою (далі </w:t>
      </w:r>
      <w:r w:rsidRPr="00181265" w:rsidR="00FC4864">
        <w:rPr>
          <w:sz w:val="28"/>
          <w:szCs w:val="28"/>
          <w:lang w:val="uk-UA"/>
        </w:rPr>
        <w:t>–</w:t>
      </w:r>
      <w:r w:rsidRPr="00181265">
        <w:rPr>
          <w:sz w:val="28"/>
          <w:szCs w:val="28"/>
          <w:lang w:val="uk-UA"/>
        </w:rPr>
        <w:t xml:space="preserve"> Програма) визначається суспільною значущістю та об’єктивною потребою в ефективному професійному розвитку ветеринарних лікарів з вищою освітою відповідно до вимог міжнародних стандартів та європейських критеріїв якості.</w:t>
      </w:r>
    </w:p>
    <w:p w:rsidR="00242C39" w:rsidRPr="00181265" w:rsidP="00242C39" w14:paraId="742D3E74" w14:textId="714C00D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Програма побудована на принципах забезпечення безперервного професійного розвитку та підвищення рівня професійної компетентності ветеринарних спеціалістів та науково-педагогічних працівників закладів освіти.</w:t>
      </w:r>
    </w:p>
    <w:p w:rsidR="00242C39" w:rsidRPr="00181265" w:rsidP="00242C39" w14:paraId="06C1DA8F" w14:textId="6DFCF4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Спрямованість Програми </w:t>
      </w:r>
      <w:r w:rsidRPr="00181265" w:rsidR="00FC4864">
        <w:rPr>
          <w:sz w:val="28"/>
          <w:szCs w:val="28"/>
          <w:lang w:val="uk-UA"/>
        </w:rPr>
        <w:t>–</w:t>
      </w:r>
      <w:r w:rsidRPr="00181265">
        <w:rPr>
          <w:sz w:val="28"/>
          <w:szCs w:val="28"/>
          <w:lang w:val="uk-UA"/>
        </w:rPr>
        <w:t xml:space="preserve"> удосконалення професійних компетентностей лікарів ветеринарної медицини та науково-педагогічних працівників щодо забезпечення підвищення якості професійної діяльності та проведення освітньої діяльності та забезпечення її методичної і наукової складових.</w:t>
      </w:r>
    </w:p>
    <w:p w:rsidR="00242C39" w:rsidRPr="00181265" w:rsidP="00242C39" w14:paraId="55EA6183" w14:textId="4D6C0E0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Провідною ідеєю освітньої програми є забезпечення розвитку професійних компетентностей спрямованих на інтенсифікацію, інформатизацію та індивідуалізацію професійної діяльності, впровадження новітніх методик та технологій, адаптованих до </w:t>
      </w:r>
      <w:r w:rsidRPr="00181265" w:rsidR="004574D3">
        <w:rPr>
          <w:sz w:val="28"/>
          <w:szCs w:val="28"/>
          <w:lang w:val="uk-UA"/>
        </w:rPr>
        <w:t xml:space="preserve">сучасних </w:t>
      </w:r>
      <w:r w:rsidRPr="00181265">
        <w:rPr>
          <w:sz w:val="28"/>
          <w:szCs w:val="28"/>
          <w:lang w:val="uk-UA"/>
        </w:rPr>
        <w:t>нагальних потреб.</w:t>
      </w:r>
    </w:p>
    <w:p w:rsidR="00242C39" w:rsidRPr="00181265" w:rsidP="00242C39" w14:paraId="1BABB5F5" w14:textId="52AD81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Освітня п</w:t>
      </w:r>
      <w:r w:rsidRPr="00181265">
        <w:rPr>
          <w:sz w:val="28"/>
          <w:szCs w:val="28"/>
          <w:lang w:val="uk-UA"/>
        </w:rPr>
        <w:t>рограма базується на методологічному, змістово-методичному, інформаційно-технологічному, організаційно-управлінському та культурологічному концептах організації освітньої діяльності.</w:t>
      </w:r>
    </w:p>
    <w:p w:rsidR="004574D3" w:rsidRPr="00181265" w14:paraId="3C4F797C" w14:textId="77777777">
      <w:pPr>
        <w:rPr>
          <w:b/>
          <w:bCs/>
          <w:i/>
          <w:iCs/>
          <w:sz w:val="28"/>
          <w:szCs w:val="28"/>
          <w:lang w:val="uk-UA"/>
        </w:rPr>
      </w:pPr>
      <w:r w:rsidRPr="00181265">
        <w:rPr>
          <w:b/>
          <w:bCs/>
          <w:i/>
          <w:iCs/>
          <w:sz w:val="28"/>
          <w:szCs w:val="28"/>
          <w:lang w:val="uk-UA"/>
        </w:rPr>
        <w:br w:type="page"/>
      </w:r>
    </w:p>
    <w:p w:rsidR="00242C39" w:rsidRPr="00181265" w:rsidP="00B0340C" w14:paraId="0A5BDAEE" w14:textId="0DEFA2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b/>
          <w:bCs/>
          <w:i/>
          <w:iCs/>
          <w:sz w:val="28"/>
          <w:szCs w:val="28"/>
          <w:lang w:val="uk-UA"/>
        </w:rPr>
        <w:t>Особливості реалізації.</w:t>
      </w:r>
      <w:r w:rsidRPr="00181265" w:rsidR="004574D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81265">
        <w:rPr>
          <w:sz w:val="28"/>
          <w:szCs w:val="28"/>
          <w:lang w:val="uk-UA"/>
        </w:rPr>
        <w:t>Реалізація Програми здійснюється на:</w:t>
      </w:r>
      <w:r w:rsidRPr="00181265" w:rsidR="00B0340C">
        <w:rPr>
          <w:sz w:val="28"/>
          <w:szCs w:val="28"/>
          <w:lang w:val="uk-UA"/>
        </w:rPr>
        <w:t xml:space="preserve"> </w:t>
      </w:r>
      <w:r w:rsidRPr="00181265">
        <w:rPr>
          <w:sz w:val="28"/>
          <w:szCs w:val="28"/>
          <w:lang w:val="uk-UA"/>
        </w:rPr>
        <w:t>принципах організації освітнього процесу, неперервності (освіта впродовж життя), системності (відповідність знань і їх структури науковій теорії), послідовності (забезпечує логічний внутрішньопредметний і міжпредметний зв’язок освітнього матеріалу), прогностичності (урахування в процесі професійного навчання необхідних професійних знань, умінь і навичок, орієнтованих на професійну діяльність) та інноваційності (упровадження в освітній процес інноваційних підходів і технологій, які забезпечують результативність навчання);</w:t>
      </w:r>
      <w:r w:rsidRPr="00181265" w:rsidR="00B0340C">
        <w:rPr>
          <w:sz w:val="28"/>
          <w:szCs w:val="28"/>
          <w:lang w:val="uk-UA"/>
        </w:rPr>
        <w:t xml:space="preserve"> </w:t>
      </w:r>
      <w:r w:rsidRPr="00181265">
        <w:rPr>
          <w:sz w:val="28"/>
          <w:szCs w:val="28"/>
          <w:lang w:val="uk-UA"/>
        </w:rPr>
        <w:t xml:space="preserve">методологічних принципах </w:t>
      </w:r>
      <w:r w:rsidRPr="00181265" w:rsidR="007A0F4D">
        <w:rPr>
          <w:sz w:val="28"/>
          <w:szCs w:val="28"/>
          <w:lang w:val="uk-UA"/>
        </w:rPr>
        <w:t>-</w:t>
      </w:r>
      <w:r w:rsidRPr="00181265">
        <w:rPr>
          <w:sz w:val="28"/>
          <w:szCs w:val="28"/>
          <w:lang w:val="uk-UA"/>
        </w:rPr>
        <w:t xml:space="preserve"> загальнонауковому (історичний, порівняльно-генезисний, системний, когнітивний та моделювання); конкретно-науковому (за рівнем пізнання - емпіричні та теоретичні; за джерельністю базису галузей науки і знань - логічний, порівняльний, за сферою системних дій - формально-логічний, математичний, світоглядно-філософський; за світоглядною прив’язкою - ідеалізму, матеріалізму, метафізичності, розвитку, суб’єктивізму та об’єктивізму, оптимальної раціональності; за напрямами етапів розвитку методології - таксономії додатковості, комплексності, системної єдності, синергізму); експертного оцінювання та практики (системного аналізу, елементаризму та загального взаємовпливу, розвитку, системної цілісності, ієрархічної формалізації та цілепокладання), на основі яких відбувається розроблення освітньої діяльності з підвищення кваліфікації.</w:t>
      </w:r>
    </w:p>
    <w:p w:rsidR="00242C39" w:rsidRPr="00181265" w:rsidP="00242C39" w14:paraId="00EAA5E5" w14:textId="34FC1A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Освітня програма складається за модульною системою (обов’язкові та вибіркові модулі) із застосуванням синергетичного підходу. Загальний обсяг освітньої програми 1</w:t>
      </w:r>
      <w:r w:rsidRPr="00181265" w:rsidR="004574D3">
        <w:rPr>
          <w:sz w:val="28"/>
          <w:szCs w:val="28"/>
          <w:lang w:val="uk-UA"/>
        </w:rPr>
        <w:t>5</w:t>
      </w:r>
      <w:r w:rsidRPr="00181265">
        <w:rPr>
          <w:sz w:val="28"/>
          <w:szCs w:val="28"/>
          <w:lang w:val="uk-UA"/>
        </w:rPr>
        <w:t>0 годин (</w:t>
      </w:r>
      <w:r w:rsidRPr="00181265" w:rsidR="004574D3">
        <w:rPr>
          <w:sz w:val="28"/>
          <w:szCs w:val="28"/>
          <w:lang w:val="uk-UA"/>
        </w:rPr>
        <w:t>5</w:t>
      </w:r>
      <w:r w:rsidRPr="00181265">
        <w:rPr>
          <w:sz w:val="28"/>
          <w:szCs w:val="28"/>
          <w:lang w:val="uk-UA"/>
        </w:rPr>
        <w:t xml:space="preserve"> </w:t>
      </w:r>
      <w:r w:rsidRPr="00181265" w:rsidR="00213D3A">
        <w:rPr>
          <w:sz w:val="28"/>
          <w:szCs w:val="28"/>
          <w:lang w:val="uk-UA"/>
        </w:rPr>
        <w:t>кредитів</w:t>
      </w:r>
      <w:r w:rsidRPr="00181265">
        <w:rPr>
          <w:sz w:val="28"/>
          <w:szCs w:val="28"/>
          <w:lang w:val="uk-UA"/>
        </w:rPr>
        <w:t xml:space="preserve"> ЄКТС)</w:t>
      </w:r>
      <w:r w:rsidRPr="00181265" w:rsidR="00213D3A">
        <w:rPr>
          <w:sz w:val="28"/>
          <w:szCs w:val="28"/>
          <w:lang w:val="uk-UA"/>
        </w:rPr>
        <w:t>.</w:t>
      </w:r>
      <w:r w:rsidRPr="00181265">
        <w:rPr>
          <w:sz w:val="28"/>
          <w:szCs w:val="28"/>
          <w:lang w:val="uk-UA"/>
        </w:rPr>
        <w:t xml:space="preserve"> </w:t>
      </w:r>
      <w:r w:rsidRPr="00181265" w:rsidR="00213D3A">
        <w:rPr>
          <w:sz w:val="28"/>
          <w:szCs w:val="28"/>
          <w:lang w:val="uk-UA"/>
        </w:rPr>
        <w:t>На вибір слухача програма може бути розширена до 180 годин</w:t>
      </w:r>
      <w:r w:rsidRPr="00181265">
        <w:rPr>
          <w:sz w:val="28"/>
          <w:szCs w:val="28"/>
          <w:lang w:val="uk-UA"/>
        </w:rPr>
        <w:t xml:space="preserve"> </w:t>
      </w:r>
      <w:r w:rsidRPr="00181265" w:rsidR="00213D3A">
        <w:rPr>
          <w:sz w:val="28"/>
          <w:szCs w:val="28"/>
          <w:lang w:val="uk-UA"/>
        </w:rPr>
        <w:t xml:space="preserve">(6 кредитів ЄКТС) шляхом введення додаткового </w:t>
      </w:r>
      <w:r w:rsidRPr="00181265">
        <w:rPr>
          <w:sz w:val="28"/>
          <w:szCs w:val="28"/>
          <w:lang w:val="uk-UA"/>
        </w:rPr>
        <w:t>вибірков</w:t>
      </w:r>
      <w:r w:rsidRPr="00181265" w:rsidR="00213D3A">
        <w:rPr>
          <w:sz w:val="28"/>
          <w:szCs w:val="28"/>
          <w:lang w:val="uk-UA"/>
        </w:rPr>
        <w:t>ого</w:t>
      </w:r>
      <w:r w:rsidRPr="00181265">
        <w:rPr>
          <w:sz w:val="28"/>
          <w:szCs w:val="28"/>
          <w:lang w:val="uk-UA"/>
        </w:rPr>
        <w:t xml:space="preserve"> модул</w:t>
      </w:r>
      <w:r w:rsidRPr="00181265" w:rsidR="00213D3A">
        <w:rPr>
          <w:sz w:val="28"/>
          <w:szCs w:val="28"/>
          <w:lang w:val="uk-UA"/>
        </w:rPr>
        <w:t>я</w:t>
      </w:r>
      <w:r w:rsidRPr="00181265">
        <w:rPr>
          <w:sz w:val="28"/>
          <w:szCs w:val="28"/>
          <w:lang w:val="uk-UA"/>
        </w:rPr>
        <w:t xml:space="preserve">. </w:t>
      </w:r>
      <w:r w:rsidRPr="00181265" w:rsidR="00670C11">
        <w:rPr>
          <w:sz w:val="28"/>
          <w:szCs w:val="28"/>
          <w:lang w:val="uk-UA"/>
        </w:rPr>
        <w:t>Слухачі</w:t>
      </w:r>
      <w:r w:rsidRPr="00181265">
        <w:rPr>
          <w:sz w:val="28"/>
          <w:szCs w:val="28"/>
          <w:lang w:val="uk-UA"/>
        </w:rPr>
        <w:t xml:space="preserve"> можуть обирати </w:t>
      </w:r>
      <w:r w:rsidRPr="00181265" w:rsidR="00B0340C">
        <w:rPr>
          <w:sz w:val="28"/>
          <w:szCs w:val="28"/>
          <w:lang w:val="uk-UA"/>
        </w:rPr>
        <w:t xml:space="preserve">окремо </w:t>
      </w:r>
      <w:r w:rsidRPr="00181265">
        <w:rPr>
          <w:sz w:val="28"/>
          <w:szCs w:val="28"/>
          <w:lang w:val="uk-UA"/>
        </w:rPr>
        <w:t>будь-які модулі на власний розсуд, які пропонуються розробниками Програми. Організація освітнього процесу здійснюється за змішаною формою (очна, очно-дистанційна, дистанційна) та передбачає практичну</w:t>
      </w:r>
      <w:r w:rsidRPr="00181265" w:rsidR="00670C11">
        <w:rPr>
          <w:sz w:val="28"/>
          <w:szCs w:val="28"/>
          <w:lang w:val="uk-UA"/>
        </w:rPr>
        <w:t xml:space="preserve"> і</w:t>
      </w:r>
      <w:r w:rsidRPr="00181265">
        <w:rPr>
          <w:sz w:val="28"/>
          <w:szCs w:val="28"/>
          <w:lang w:val="uk-UA"/>
        </w:rPr>
        <w:t xml:space="preserve"> самостійну роботу.</w:t>
      </w:r>
    </w:p>
    <w:p w:rsidR="00242C39" w:rsidRPr="00181265" w:rsidP="00242C39" w14:paraId="44EAF5F8" w14:textId="7777777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181265">
        <w:rPr>
          <w:b/>
          <w:bCs/>
          <w:i/>
          <w:iCs/>
          <w:sz w:val="28"/>
          <w:szCs w:val="28"/>
          <w:lang w:val="uk-UA"/>
        </w:rPr>
        <w:t>Основні завдання Програми:</w:t>
      </w:r>
    </w:p>
    <w:p w:rsidR="00242C39" w:rsidRPr="00181265" w:rsidP="00B0340C" w14:paraId="445D622A" w14:textId="0A44E898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розвиток загальних і професійних компетентносте</w:t>
      </w:r>
      <w:r w:rsidRPr="00181265" w:rsidR="00670C11">
        <w:rPr>
          <w:sz w:val="28"/>
          <w:szCs w:val="28"/>
          <w:lang w:val="uk-UA"/>
        </w:rPr>
        <w:t>й</w:t>
      </w:r>
      <w:r w:rsidRPr="00181265">
        <w:rPr>
          <w:sz w:val="28"/>
          <w:szCs w:val="28"/>
          <w:lang w:val="uk-UA"/>
        </w:rPr>
        <w:t xml:space="preserve"> слухачів з урахуванням основних напрямів державної політики у галузі </w:t>
      </w:r>
      <w:r w:rsidRPr="00181265" w:rsidR="00B0340C">
        <w:rPr>
          <w:sz w:val="28"/>
          <w:szCs w:val="28"/>
          <w:lang w:val="uk-UA"/>
        </w:rPr>
        <w:t>ветеринарної медицини</w:t>
      </w:r>
      <w:r w:rsidRPr="00181265">
        <w:rPr>
          <w:sz w:val="28"/>
          <w:szCs w:val="28"/>
          <w:lang w:val="uk-UA"/>
        </w:rPr>
        <w:t xml:space="preserve">, </w:t>
      </w:r>
      <w:r w:rsidRPr="00181265" w:rsidR="00B0340C">
        <w:rPr>
          <w:sz w:val="28"/>
          <w:szCs w:val="28"/>
          <w:lang w:val="uk-UA"/>
        </w:rPr>
        <w:t xml:space="preserve">освіти, </w:t>
      </w:r>
      <w:r w:rsidRPr="00181265">
        <w:rPr>
          <w:sz w:val="28"/>
          <w:szCs w:val="28"/>
          <w:lang w:val="uk-UA"/>
        </w:rPr>
        <w:t>нормативних вимог і запитів громадянського суспільства</w:t>
      </w:r>
      <w:r w:rsidRPr="00181265" w:rsidR="00B0340C">
        <w:rPr>
          <w:sz w:val="28"/>
          <w:szCs w:val="28"/>
          <w:lang w:val="uk-UA"/>
        </w:rPr>
        <w:t xml:space="preserve"> та </w:t>
      </w:r>
      <w:r w:rsidRPr="00181265">
        <w:rPr>
          <w:sz w:val="28"/>
          <w:szCs w:val="28"/>
          <w:lang w:val="uk-UA"/>
        </w:rPr>
        <w:t>оволодіння основами освітнього менеджменту;</w:t>
      </w:r>
    </w:p>
    <w:p w:rsidR="00242C39" w:rsidRPr="00181265" w:rsidP="00B0340C" w14:paraId="4D8BACF7" w14:textId="55C8728C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сприяння особистісному та професійному розвитку слухачів на основі актуалізації їхнього професійного та життєвого досвіду відповідно до вимог суспільства і громади, чинного законодавства щодо професійних компетентносте</w:t>
      </w:r>
      <w:r w:rsidRPr="00181265" w:rsidR="00406991">
        <w:rPr>
          <w:sz w:val="28"/>
          <w:szCs w:val="28"/>
          <w:lang w:val="uk-UA"/>
        </w:rPr>
        <w:t>й</w:t>
      </w:r>
      <w:r w:rsidRPr="00181265">
        <w:rPr>
          <w:sz w:val="28"/>
          <w:szCs w:val="28"/>
          <w:lang w:val="uk-UA"/>
        </w:rPr>
        <w:t>;</w:t>
      </w:r>
    </w:p>
    <w:p w:rsidR="00242C39" w:rsidRPr="00181265" w:rsidP="00B0340C" w14:paraId="0277530E" w14:textId="31FD33F6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формування і розвиток інформаційної культури управління освітнім процесом, навички використання інноваційних освітніх технологій, засобів інформаційних та цифрових технологій;</w:t>
      </w:r>
    </w:p>
    <w:p w:rsidR="00B0340C" w:rsidRPr="00181265" w:rsidP="00B0340C" w14:paraId="6AD7A238" w14:textId="207954F6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поглиблення знань з психологічної складової діяльності </w:t>
      </w:r>
      <w:r w:rsidRPr="00181265" w:rsidR="00406991">
        <w:rPr>
          <w:sz w:val="28"/>
          <w:szCs w:val="28"/>
          <w:lang w:val="uk-UA"/>
        </w:rPr>
        <w:t xml:space="preserve">лікарів ветеринарної медицини та </w:t>
      </w:r>
      <w:r w:rsidRPr="00181265">
        <w:rPr>
          <w:sz w:val="28"/>
          <w:szCs w:val="28"/>
          <w:lang w:val="uk-UA"/>
        </w:rPr>
        <w:t>науково-педагогічн</w:t>
      </w:r>
      <w:r w:rsidRPr="00181265" w:rsidR="00406991">
        <w:rPr>
          <w:sz w:val="28"/>
          <w:szCs w:val="28"/>
          <w:lang w:val="uk-UA"/>
        </w:rPr>
        <w:t>их</w:t>
      </w:r>
      <w:r w:rsidRPr="00181265">
        <w:rPr>
          <w:sz w:val="28"/>
          <w:szCs w:val="28"/>
          <w:lang w:val="uk-UA"/>
        </w:rPr>
        <w:t xml:space="preserve"> працівник</w:t>
      </w:r>
      <w:r w:rsidRPr="00181265" w:rsidR="00406991">
        <w:rPr>
          <w:sz w:val="28"/>
          <w:szCs w:val="28"/>
          <w:lang w:val="uk-UA"/>
        </w:rPr>
        <w:t>ів</w:t>
      </w:r>
      <w:r w:rsidRPr="00181265">
        <w:rPr>
          <w:sz w:val="28"/>
          <w:szCs w:val="28"/>
          <w:lang w:val="uk-UA"/>
        </w:rPr>
        <w:t xml:space="preserve">, питань запобігання та вирішення конфліктів; </w:t>
      </w:r>
    </w:p>
    <w:p w:rsidR="00242C39" w:rsidRPr="00181265" w:rsidP="00B0340C" w14:paraId="36B9F2F7" w14:textId="00741485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мотивація слухачів до професійного і кар’єрного зростання</w:t>
      </w:r>
      <w:r w:rsidRPr="00181265" w:rsidR="00B0340C">
        <w:rPr>
          <w:sz w:val="28"/>
          <w:szCs w:val="28"/>
          <w:lang w:val="uk-UA"/>
        </w:rPr>
        <w:t>, розвитку шляхом неперервної освіти, самоосвіти, критичного осмислення результатів власної діяльності.</w:t>
      </w:r>
    </w:p>
    <w:p w:rsidR="00242C39" w:rsidRPr="00181265" w:rsidP="00B0340C" w14:paraId="16AAAE06" w14:textId="72B95885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формування і розвиток навички системного аналізу результатів власної діяльності, об’єктивного оцінювання ситуацій, знаходження оптимальних шляхів для розв’язання проблемних питань, що виникають в освітньому процесі;</w:t>
      </w:r>
    </w:p>
    <w:p w:rsidR="00242C39" w:rsidRPr="00181265" w:rsidP="00B0340C" w14:paraId="2CE2E0D1" w14:textId="4BD8F3FE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>посилення уваги до соціальних умінь та взаємодії (Soft Skills), підвищення рівня володіння цифровими вміннями (Digital Skills);</w:t>
      </w:r>
    </w:p>
    <w:p w:rsidR="00066427" w:rsidRPr="00181265" w:rsidP="00B0340C" w14:paraId="6EEF990F" w14:textId="7371BE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t xml:space="preserve">Навчально-методичним забезпеченням Програми </w:t>
      </w:r>
      <w:r w:rsidRPr="00181265" w:rsidR="00B0340C">
        <w:rPr>
          <w:sz w:val="28"/>
          <w:szCs w:val="28"/>
          <w:lang w:val="uk-UA"/>
        </w:rPr>
        <w:t>є</w:t>
      </w:r>
      <w:r w:rsidRPr="00181265">
        <w:rPr>
          <w:sz w:val="28"/>
          <w:szCs w:val="28"/>
          <w:lang w:val="uk-UA"/>
        </w:rPr>
        <w:t xml:space="preserve"> інтерактивні лекції, практичні заняття (тренінги, семінари, робочі зустрічі, круглі столи, конференції, тематичні дискусії), стажування і самостійна робота </w:t>
      </w:r>
      <w:r w:rsidRPr="00181265" w:rsidR="00B0340C">
        <w:rPr>
          <w:sz w:val="28"/>
          <w:szCs w:val="28"/>
          <w:lang w:val="uk-UA"/>
        </w:rPr>
        <w:t>слухачів</w:t>
      </w:r>
      <w:r w:rsidRPr="00181265">
        <w:rPr>
          <w:sz w:val="28"/>
          <w:szCs w:val="28"/>
          <w:lang w:val="uk-UA"/>
        </w:rPr>
        <w:t xml:space="preserve"> з використанням рекомендованих літературних та інформаційних джерел, можливостей дистанційного навчання (відеолекції, друковані матеріали, чати, онлайн-вправи, презентації тощо).</w:t>
      </w:r>
      <w:r w:rsidRPr="00181265">
        <w:rPr>
          <w:sz w:val="28"/>
          <w:szCs w:val="28"/>
          <w:lang w:val="uk-UA"/>
        </w:rPr>
        <w:br w:type="page"/>
      </w:r>
    </w:p>
    <w:p w:rsidR="00293BC8" w:rsidRPr="00181265" w:rsidP="00A30E25" w14:paraId="00825BF8" w14:textId="155BE125">
      <w:pPr>
        <w:pStyle w:val="210"/>
        <w:keepNext/>
        <w:keepLines/>
        <w:tabs>
          <w:tab w:val="left" w:pos="284"/>
        </w:tabs>
        <w:spacing w:after="0" w:line="360" w:lineRule="auto"/>
        <w:ind w:left="360" w:right="-2"/>
        <w:rPr>
          <w:rFonts w:ascii="Times New Roman" w:hAnsi="Times New Roman" w:cs="Times New Roman"/>
          <w:lang w:val="uk-UA"/>
        </w:rPr>
      </w:pPr>
      <w:bookmarkStart w:id="0" w:name="bookmark20"/>
      <w:bookmarkStart w:id="1" w:name="bookmark21"/>
      <w:bookmarkStart w:id="2" w:name="bookmark22"/>
      <w:r w:rsidRPr="00181265">
        <w:rPr>
          <w:rFonts w:ascii="Times New Roman" w:eastAsia="Times New Roman" w:hAnsi="Times New Roman" w:cs="Times New Roman"/>
          <w:color w:val="000000"/>
          <w:lang w:val="uk-UA"/>
        </w:rPr>
        <w:t xml:space="preserve">3. </w:t>
      </w:r>
      <w:r w:rsidRPr="00181265" w:rsidR="00D85187">
        <w:rPr>
          <w:rFonts w:ascii="Times New Roman" w:eastAsia="Times New Roman" w:hAnsi="Times New Roman" w:cs="Times New Roman"/>
          <w:color w:val="000000"/>
          <w:lang w:val="uk-UA"/>
        </w:rPr>
        <w:t>ПРОФІЛЬ ОСВІТНЬОЇ ПРОГРАМИ</w:t>
      </w:r>
      <w:r w:rsidRPr="00181265" w:rsidR="00D85187">
        <w:rPr>
          <w:rFonts w:ascii="Times New Roman" w:eastAsia="Times New Roman" w:hAnsi="Times New Roman" w:cs="Times New Roman"/>
          <w:color w:val="000000"/>
          <w:lang w:val="uk-UA"/>
        </w:rPr>
        <w:br/>
        <w:t>«</w:t>
      </w:r>
      <w:r w:rsidRPr="00181265" w:rsidR="00A71041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  <w:lang w:val="uk-UA"/>
        </w:rPr>
        <w:t>Ветеринарна трансфузіологія</w:t>
      </w:r>
      <w:r w:rsidRPr="00181265" w:rsidR="00D85187"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tbl>
      <w:tblPr>
        <w:tblOverlap w:val="never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50"/>
        <w:gridCol w:w="2239"/>
        <w:gridCol w:w="6371"/>
      </w:tblGrid>
      <w:tr w14:paraId="46392517" w14:textId="77777777" w:rsidTr="00C6398E">
        <w:tblPrEx>
          <w:tblW w:w="90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36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bookmarkEnd w:id="0"/>
          <w:bookmarkEnd w:id="1"/>
          <w:bookmarkEnd w:id="2"/>
          <w:p w:rsidR="00293BC8" w:rsidRPr="00181265" w:rsidP="00F5073D" w14:paraId="61C7BA0B" w14:textId="26FEFD7A">
            <w:pPr>
              <w:pStyle w:val="13"/>
              <w:tabs>
                <w:tab w:val="left" w:leader="underscore" w:pos="3610"/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Загальна інформація</w:t>
            </w:r>
          </w:p>
        </w:tc>
      </w:tr>
      <w:tr w14:paraId="739515FA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1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41709B57" w14:textId="182EADD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Обсяг програми</w:t>
            </w:r>
          </w:p>
          <w:p w:rsidR="00D85187" w:rsidRPr="00181265" w:rsidP="00F5073D" w14:paraId="180424E3" w14:textId="4D284D0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аукова установа</w:t>
            </w:r>
          </w:p>
          <w:p w:rsidR="00D85187" w:rsidRPr="00181265" w:rsidP="00F5073D" w14:paraId="7207C87E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Ліцензія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2FA3742C" w14:textId="224DAF4C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150 годин (5 кредитів ЄКТС)</w:t>
            </w:r>
          </w:p>
          <w:p w:rsidR="00293BC8" w:rsidRPr="00181265" w:rsidP="00F5073D" w14:paraId="50F04280" w14:textId="2C34160C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Одеська міжнародна академія</w:t>
            </w:r>
          </w:p>
          <w:p w:rsidR="00293BC8" w:rsidRPr="00181265" w:rsidP="00F5073D" w14:paraId="3BF783DB" w14:textId="6C611B4D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Наказ МОН від 07.04.2022 № 59-л</w:t>
            </w:r>
          </w:p>
          <w:p w:rsidR="00D85187" w:rsidRPr="00181265" w:rsidP="00F5073D" w14:paraId="2CAC9321" w14:textId="218A3E3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1F789E9B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89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74C6B97E" w14:textId="2533421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Рівень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06C71B8D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</w:t>
            </w:r>
          </w:p>
        </w:tc>
      </w:tr>
      <w:tr w14:paraId="23AFF863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181265" w:rsidP="00F5073D" w14:paraId="73411AD9" w14:textId="14EA4309">
            <w:pPr>
              <w:pStyle w:val="13"/>
              <w:tabs>
                <w:tab w:val="left" w:leader="underscore" w:pos="4228"/>
                <w:tab w:val="left" w:pos="7552"/>
                <w:tab w:val="left" w:leader="underscore" w:pos="8493"/>
                <w:tab w:val="left" w:leader="underscore" w:pos="8819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Мета освітньої програми</w:t>
            </w:r>
          </w:p>
        </w:tc>
      </w:tr>
      <w:tr w14:paraId="33AB2451" w14:textId="77777777" w:rsidTr="00FC4864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5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181265" w:rsidP="00F5073D" w14:paraId="020C79D9" w14:textId="11331019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професійних компетентностей необхідних для реалізації якісної та ефективної професійної діяльності в умовах у галузі ветеринарної медицини стосовно </w:t>
            </w:r>
            <w:r w:rsidRPr="00181265" w:rsidR="00A710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трансфузіології</w:t>
            </w:r>
            <w:r w:rsidRPr="0018126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та впровадження інноваційних технологій у професійну діяльність</w:t>
            </w:r>
          </w:p>
        </w:tc>
      </w:tr>
      <w:tr w14:paraId="17B4B61C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181265" w:rsidP="00F5073D" w14:paraId="6F9DE706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Характеристика освітньої програми</w:t>
            </w:r>
          </w:p>
        </w:tc>
      </w:tr>
      <w:tr w14:paraId="5F0BC398" w14:textId="77777777" w:rsidTr="00FC4864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6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0ABB1D6D" w14:textId="252F4460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47649C7D" w14:textId="591E2A9A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Функціональна</w:t>
            </w:r>
            <w:r w:rsidRPr="00181265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спрямованість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79D44298" w14:textId="5EC97192">
            <w:pPr>
              <w:pStyle w:val="13"/>
              <w:tabs>
                <w:tab w:val="left" w:pos="3264"/>
                <w:tab w:val="left" w:leader="underscore" w:pos="3571"/>
                <w:tab w:val="left" w:leader="underscore" w:pos="4228"/>
                <w:tab w:val="left" w:leader="underscore" w:pos="5626"/>
                <w:tab w:val="left" w:leader="underscore" w:pos="6432"/>
                <w:tab w:val="left" w:leader="underscore" w:pos="702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складових професійних компетентностей </w:t>
            </w:r>
            <w:r w:rsidRPr="00181265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лікарів ветеринарної медицини та 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науково-педагогічних працівників</w:t>
            </w:r>
          </w:p>
        </w:tc>
      </w:tr>
      <w:tr w14:paraId="37781192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60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615B7A27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0D6A2581" w14:textId="640643E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Фокус освітньої про</w:t>
            </w:r>
            <w:r w:rsidRPr="00181265" w:rsidR="006E09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3C2D7897" w14:textId="47E184A1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Акцент на розвитку комп</w:t>
            </w:r>
            <w:r w:rsidRPr="00181265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</w:t>
            </w:r>
            <w:r w:rsidRPr="00181265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нтност</w:t>
            </w:r>
            <w:r w:rsidRPr="00181265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й </w:t>
            </w:r>
            <w:r w:rsidRPr="00181265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</w:t>
            </w:r>
          </w:p>
        </w:tc>
      </w:tr>
      <w:tr w14:paraId="0E40F012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8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1446EA47" w14:textId="0579590A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7F967045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Орієнтація освітньої</w:t>
            </w:r>
          </w:p>
          <w:p w:rsidR="00D85187" w:rsidRPr="00181265" w:rsidP="00F5073D" w14:paraId="495DF609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34B4918F" w14:textId="2DDC860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Модулі орієнтовані на розвиток й удосконалення складових професійних компетентностей </w:t>
            </w:r>
            <w:r w:rsidRPr="00181265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</w:t>
            </w:r>
          </w:p>
        </w:tc>
      </w:tr>
      <w:tr w14:paraId="328A2D2F" w14:textId="77777777" w:rsidTr="00CD2B4A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0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6C46A333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6CEFD25C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Особливості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181265" w:rsidP="00F5073D" w14:paraId="476616EC" w14:textId="0F5839B3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спрямована на удосконалення професійних компстснтностсй </w:t>
            </w:r>
            <w:r w:rsidRPr="00181265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працівників. Тісна співпраця з установами та організаціями різних форм власності регіону дозволяє опанувати сучасні технології з ветеринарної медицини. В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провадження нових методик викладання в умовах реформування освітньої галузі, здійснює освітній процес на основі впровадження сучасних технологій освітнього менеджменту, що базуються на </w:t>
            </w:r>
            <w:r w:rsidRPr="00181265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кращих вітчизняних і європейських практиках, результатах наукового пошуку зарубіжних й українських дослідників. Освітня програма реалізується в декілька етапів (очні та дистанційні) і спрямована на розкриття актуальних питань професійної діяльності. Навчання за дистанційною складовою освітньої програми може відбуватися у зручний для здобувана освіти час та з будь-якого електронного пристрою. Компоненти освітньої програми є авторським творчим продуктом, самодостатніми освітніми модулями, які можуть викладатися окремо за запитами слухачів</w:t>
            </w:r>
            <w:r w:rsidRPr="00181265" w:rsidR="00A235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14:paraId="6BB2D63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4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51D0C34A" w14:textId="784C46B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50E0CA6B" w14:textId="37602FE0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Цільова група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5AC25139" w14:textId="51127441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 ветеринарної медицини та науково-педагогічні працівники закладів освіти спеціальності 211 «Ветеринарна медицина»</w:t>
            </w:r>
          </w:p>
        </w:tc>
      </w:tr>
      <w:tr w14:paraId="7A53B4CE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69B25AD6" w14:textId="2948B54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Професійні вимоги (компетенції) та продовження навчання</w:t>
            </w:r>
          </w:p>
        </w:tc>
      </w:tr>
      <w:tr w14:paraId="4AE8EF0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4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0C5B878A" w14:textId="1FC2396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2E6B7A8C" w14:textId="2E534EC4">
            <w:pPr>
              <w:pStyle w:val="13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Компетенції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D02A8E" w14:paraId="6C491649" w14:textId="72340F05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Визначає посадова інструкція</w:t>
            </w:r>
          </w:p>
        </w:tc>
      </w:tr>
      <w:tr w14:paraId="196E556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4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7E020AF6" w14:textId="38CF4096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F5073D" w14:paraId="2F6B8E08" w14:textId="01ED911D">
            <w:pPr>
              <w:pStyle w:val="13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Продовження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181265" w:rsidP="00D02A8E" w14:paraId="4C349CC0" w14:textId="31B098BA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передбачає можливість подальшого розширення та поглиблення знань, умінь, навичок </w:t>
            </w:r>
            <w:r w:rsidRPr="00181265" w:rsidR="00A235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за напрямом </w:t>
            </w:r>
            <w:r w:rsidRPr="00181265" w:rsidR="00B43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14:paraId="4D86474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7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2496F01D" w14:textId="3DBE886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Стиль та методика навчання</w:t>
            </w:r>
          </w:p>
        </w:tc>
      </w:tr>
      <w:tr w14:paraId="6EE40C73" w14:textId="77777777" w:rsidTr="00CD2B4A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14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00617C35" w14:textId="1542F41E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B43D2A" w14:paraId="36E6C03E" w14:textId="449BE13D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Підходи до викладання та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4D69CCD6" w14:textId="7255CAD6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проходить з використанням сучасних інтерактивних інформаційних та цифрових технологій: інтерактивні лекції (відеолекції), тренінги, тематичні вебінари, практичні завдання, активні посилання на офіційні документи, тести для самоперевірки, корисні матеріали для скачування: презентації, алгоритми дій, рекомендації, поради, чек-листи тощо.</w:t>
            </w:r>
            <w:r w:rsidRPr="00181265" w:rsidR="003052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Дистанційна форма організації освітнього процесу забезпечується на платформі Мудл.</w:t>
            </w:r>
          </w:p>
        </w:tc>
      </w:tr>
      <w:tr w14:paraId="631DD27C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19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13D9CE05" w14:textId="0A20C21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25C15522" w14:textId="25C33E3B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Система оцінювання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04EBBF7D" w14:textId="4E372EA8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Результати навчання за освітньою програмою оцінюються (зараховано/не зараховано): за результатами тестування; отримання сертифікату за успішне проходження навчання та комплексного тестування.</w:t>
            </w:r>
          </w:p>
        </w:tc>
      </w:tr>
      <w:tr w14:paraId="1223C77D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2D50DC65" w14:textId="70339C91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Програмні компетентності</w:t>
            </w:r>
          </w:p>
        </w:tc>
      </w:tr>
      <w:tr w14:paraId="5EA3980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71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4BE0320D" w14:textId="1DC0EDA2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72ED059F" w14:textId="4087FC6C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Загальні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09FD89FE" w14:textId="2406A4F7">
            <w:pPr>
              <w:pStyle w:val="13"/>
              <w:tabs>
                <w:tab w:val="left" w:leader="underscore" w:pos="4228"/>
              </w:tabs>
              <w:spacing w:line="276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Академічна доброчесність. Здатність застосовувати правила коректного посилання та цитування.</w:t>
            </w:r>
          </w:p>
        </w:tc>
      </w:tr>
      <w:tr w14:paraId="3E68798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54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5CFBC28E" w14:textId="0D69102F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41639954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24FDF9E5" w14:textId="4E6D7F1C">
            <w:pPr>
              <w:pStyle w:val="13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Відкритість до змін. Здатність ініціювати зміни та забезпечувати їх імплементацію та підтримку. Здатність критично оцінювати фактори супротиву змінам і системно здійснювати їх усунення.</w:t>
            </w:r>
          </w:p>
        </w:tc>
      </w:tr>
      <w:tr w14:paraId="158213DF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7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46B4FD7A" w14:textId="129E949F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286D1593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7BE18396" w14:textId="36D0A617">
            <w:pPr>
              <w:pStyle w:val="13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Інформаційна та ІКЛ-компетентність. Здатність критично та системно опрацьовувати інформаційні дані. Здатність використовувати сучасні та релевантні ІКТ для реалізації професійної діяльності.</w:t>
            </w:r>
          </w:p>
        </w:tc>
      </w:tr>
      <w:tr w14:paraId="6B95154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7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5D0190FF" w14:textId="68B85E6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202475FC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31CEF4E0" w14:textId="5CA4D832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Культура якості освіти. Здатність застосовувати інструменти забезпечення якості освіти.</w:t>
            </w:r>
          </w:p>
        </w:tc>
      </w:tr>
      <w:tr w14:paraId="2A2D89B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8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7D82D87E" w14:textId="040B13B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1FB85F99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181265" w:rsidP="00F5073D" w14:paraId="7F3833F0" w14:textId="4ADF428C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Лідерські якості. Здатність продукувати нові ідеї, формулювати аргументовані висновки у сфері професійної діяльності. </w:t>
            </w:r>
          </w:p>
        </w:tc>
      </w:tr>
      <w:tr w14:paraId="1E0BD2E4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7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44F37D26" w14:textId="2DD5A5CA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4C14E74E" w14:textId="5C1507B6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Спеціальні (фахові)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58FA86A2" w14:textId="6C4737C4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5B5887">
              <w:rPr>
                <w:rFonts w:ascii="Times New Roman" w:hAnsi="Times New Roman" w:cs="Times New Roman"/>
              </w:rPr>
              <w:t xml:space="preserve">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 </w:t>
            </w:r>
          </w:p>
        </w:tc>
      </w:tr>
      <w:tr w14:paraId="087F32D0" w14:textId="77777777" w:rsidTr="00181265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41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0B536743" w14:textId="36441FD2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19AD1D47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2148FF84" w14:textId="60AAD849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81265">
              <w:rPr>
                <w:rFonts w:ascii="Times New Roman" w:hAnsi="Times New Roman" w:cs="Times New Roman"/>
              </w:rPr>
              <w:t>Здатність організовувати і проводити лабораторні та спеціальні діагностичні дослідження й аналізувати їх результати. Здатність</w:t>
            </w:r>
            <w:r w:rsidRPr="005B5887">
              <w:rPr>
                <w:rFonts w:ascii="Times New Roman" w:hAnsi="Times New Roman" w:cs="Times New Roman"/>
              </w:rPr>
              <w:t xml:space="preserve"> проводити клінічні дослідження з метою формулювання висновків щодо стану тварин чи встановлення діагнозу</w:t>
            </w:r>
            <w:r w:rsidRPr="005B5887">
              <w:rPr>
                <w:rFonts w:ascii="Times New Roman" w:hAnsi="Times New Roman" w:cs="Times New Roman"/>
                <w:lang w:val="uk-UA"/>
              </w:rPr>
              <w:t>.</w:t>
            </w:r>
            <w:r w:rsidRPr="005B5887">
              <w:rPr>
                <w:rFonts w:ascii="Times New Roman" w:hAnsi="Times New Roman" w:cs="Times New Roman"/>
              </w:rPr>
              <w:t xml:space="preserve"> Здатність застосовувати знання з біобезпеки, біоетики та добробуту тварин у професійній діяльності. Здатність розробляти стратегії профілактики хвороб різної етіології.</w:t>
            </w:r>
          </w:p>
        </w:tc>
      </w:tr>
      <w:tr w14:paraId="5C695983" w14:textId="77777777" w:rsidTr="00A71041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67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14FF3CDF" w14:textId="49B92660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1ECEFF65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06288B01" w14:textId="2F27D49E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B5887">
              <w:rPr>
                <w:rFonts w:ascii="Times New Roman" w:hAnsi="Times New Roman" w:cs="Times New Roman"/>
              </w:rPr>
              <w:t xml:space="preserve">Здатність дотримуватися правил охорони праці, асептики та антисептики під час фахової діяльності. </w:t>
            </w:r>
          </w:p>
        </w:tc>
      </w:tr>
      <w:tr w14:paraId="7AAE3BAB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01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55A37437" w14:textId="792578A1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Ресурсне забезпечення реалізації освітньої програми</w:t>
            </w:r>
          </w:p>
        </w:tc>
      </w:tr>
      <w:tr w14:paraId="11D7F3AE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83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2D64DF51" w14:textId="2EBF0E2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технологічних вимог щодо засобів провадження освітньої діяльності у сфері післядипломної освіти ресурсним забезпеченням передбачено: електронний контент за відповідними компонентами програми, інструктивно-практичні матеріали, рекомендації, відео- лекції, підручники, навчальні посібники, тексти лекцій, інформаційно-освітні ресурси Інтернету, монографії та наукові статті. 3 програмного забезпечення використовуються програми Windows 7.0-10.0, Office 10.0  та інші.</w:t>
            </w:r>
          </w:p>
        </w:tc>
      </w:tr>
      <w:tr w14:paraId="46BDEBC9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34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670505D7" w14:textId="30C640C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Кадрове забезпечення</w:t>
            </w:r>
          </w:p>
        </w:tc>
      </w:tr>
      <w:tr w14:paraId="691D77B3" w14:textId="77777777" w:rsidTr="00B71E03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39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6C3284CC" w14:textId="5CBF934F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кадрових вимог щодо забезпечення провадження освітньої діяльності у сфері післядипломної освіти кадрове забезпечення освітньої програми відбувається за рахунок висококваліфікованих наукових та науково-педагогічних працівників ОМА, які мають вищу освіту за фахом, відповідний науковий ступінь та вчене звання, великий досвід професійної діяльності.</w:t>
            </w:r>
          </w:p>
        </w:tc>
      </w:tr>
      <w:tr w14:paraId="52B1EBF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1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4C9D8987" w14:textId="0EB5459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Матеріально-технічне забезпечення</w:t>
            </w:r>
          </w:p>
        </w:tc>
      </w:tr>
      <w:tr w14:paraId="0CC1D0D6" w14:textId="77777777" w:rsidTr="00B71E03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373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259CF33E" w14:textId="703E1C4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технологічних вимог щодо матеріально-технічного забезпечення освітньої діяльності у сфері післядипломної освіти у будівлі ОМА обладнано 4 навчальних приміщення (лекційні аудиторії, лабораторія, комп’ютерний та мультимедійний клас), загальною площею 520 м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з кількістю понад 100 посадочних місць. У двох навчальних приміщеннях встановлені інтерактивні дошки, усі приміщення оснащені необхідними основними засобами для навчання. В усіх навчальних приміщеннях встановлений швидкісний 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Інтсрнст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та Wi-Fi. До послуг педагогів та слухачів функціонує бібліотека загальною площею понад 130 м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із загальним фондом понад 12000 примірників вітчизняної і зарубіжної літератури.</w:t>
            </w:r>
          </w:p>
          <w:p w:rsidR="00181265" w:rsidRPr="00181265" w:rsidP="00181265" w14:paraId="51859569" w14:textId="112C56F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5FB36564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11505E64" w14:textId="77777777">
            <w:pPr>
              <w:pStyle w:val="22"/>
              <w:tabs>
                <w:tab w:val="left" w:leader="underscore" w:pos="4228"/>
              </w:tabs>
              <w:spacing w:line="240" w:lineRule="auto"/>
              <w:ind w:right="-152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Академічна мобільність</w:t>
            </w:r>
          </w:p>
          <w:p w:rsidR="00181265" w:rsidRPr="00181265" w:rsidP="00181265" w14:paraId="673E64F1" w14:textId="5B54B28E">
            <w:pPr>
              <w:pStyle w:val="22"/>
              <w:tabs>
                <w:tab w:val="left" w:leader="underscore" w:pos="4228"/>
              </w:tabs>
              <w:spacing w:line="240" w:lineRule="auto"/>
              <w:ind w:left="128" w:right="-152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78EE8E57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75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3D385651" w14:textId="58AD3C07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Національна кредитна мобільність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35542A7B" w14:textId="08E4BF20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 (стажування) у вітчизняних закладах вищої освіти на основі двосторонніх договорів</w:t>
            </w:r>
          </w:p>
        </w:tc>
      </w:tr>
      <w:tr w14:paraId="18CDA866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02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5AC7E266" w14:textId="3C9B36FF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Міжнародна кредитна мобільність підвищення кваліфікації за напрямом 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414540A4" w14:textId="2999B825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не передбачено</w:t>
            </w:r>
          </w:p>
        </w:tc>
      </w:tr>
      <w:tr w14:paraId="3E893A5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2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2AA18715" w14:textId="507A3A7D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іноземних здобувачів підвищення кваліфікації за напрямом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181265" w:rsidRPr="00181265" w:rsidP="00181265" w14:paraId="11C7F185" w14:textId="2B29D749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дистанційній формі</w:t>
            </w:r>
          </w:p>
        </w:tc>
      </w:tr>
    </w:tbl>
    <w:p w:rsidR="00D85187" w:rsidRPr="00181265" w:rsidP="00D85187" w14:paraId="6061DADC" w14:textId="77777777">
      <w:pPr>
        <w:spacing w:line="1" w:lineRule="exact"/>
        <w:rPr>
          <w:sz w:val="28"/>
          <w:szCs w:val="28"/>
          <w:lang w:val="uk-UA"/>
        </w:rPr>
      </w:pPr>
      <w:r w:rsidRPr="00181265">
        <w:rPr>
          <w:sz w:val="28"/>
          <w:szCs w:val="28"/>
          <w:lang w:val="uk-UA"/>
        </w:rPr>
        <w:br w:type="page"/>
      </w:r>
    </w:p>
    <w:p w:rsidR="00D85187" w:rsidRPr="00181265" w:rsidP="00A30E25" w14:paraId="7DD2E73F" w14:textId="228CCCE0">
      <w:pPr>
        <w:pStyle w:val="210"/>
        <w:keepNext/>
        <w:keepLines/>
        <w:tabs>
          <w:tab w:val="left" w:pos="352"/>
        </w:tabs>
        <w:spacing w:after="340"/>
        <w:ind w:left="360"/>
        <w:rPr>
          <w:rFonts w:ascii="Times New Roman" w:hAnsi="Times New Roman" w:cs="Times New Roman"/>
          <w:lang w:val="uk-UA"/>
        </w:rPr>
      </w:pPr>
      <w:bookmarkStart w:id="3" w:name="bookmark25"/>
      <w:bookmarkStart w:id="4" w:name="bookmark23"/>
      <w:bookmarkStart w:id="5" w:name="bookmark24"/>
      <w:bookmarkStart w:id="6" w:name="bookmark26"/>
      <w:bookmarkEnd w:id="3"/>
      <w:r w:rsidRPr="00181265">
        <w:rPr>
          <w:rFonts w:ascii="Times New Roman" w:eastAsia="Times New Roman" w:hAnsi="Times New Roman" w:cs="Times New Roman"/>
          <w:color w:val="000000"/>
          <w:lang w:val="uk-UA"/>
        </w:rPr>
        <w:t xml:space="preserve">4. </w:t>
      </w:r>
      <w:r w:rsidRPr="00181265" w:rsidR="00305295">
        <w:rPr>
          <w:rFonts w:ascii="Times New Roman" w:eastAsia="Times New Roman" w:hAnsi="Times New Roman" w:cs="Times New Roman"/>
          <w:color w:val="000000"/>
          <w:lang w:val="uk-UA"/>
        </w:rPr>
        <w:t>НАВЧАЛЬНО-ТЕМАТИЧНИЙ ПЛАН</w:t>
      </w:r>
      <w:bookmarkEnd w:id="4"/>
      <w:bookmarkEnd w:id="5"/>
      <w:bookmarkEnd w:id="6"/>
    </w:p>
    <w:tbl>
      <w:tblPr>
        <w:tblStyle w:val="TableGrid0"/>
        <w:tblW w:w="5000" w:type="pct"/>
        <w:tblLook w:val="04A0"/>
      </w:tblPr>
      <w:tblGrid>
        <w:gridCol w:w="506"/>
        <w:gridCol w:w="5074"/>
        <w:gridCol w:w="977"/>
        <w:gridCol w:w="544"/>
        <w:gridCol w:w="647"/>
        <w:gridCol w:w="647"/>
        <w:gridCol w:w="665"/>
      </w:tblGrid>
      <w:tr w14:paraId="5D38001A" w14:textId="77777777" w:rsidTr="000D554B">
        <w:tblPrEx>
          <w:tblW w:w="5000" w:type="pct"/>
          <w:tblLook w:val="04A0"/>
        </w:tblPrEx>
        <w:trPr>
          <w:trHeight w:val="325"/>
        </w:trPr>
        <w:tc>
          <w:tcPr>
            <w:tcW w:w="279" w:type="pct"/>
            <w:vMerge w:val="restart"/>
          </w:tcPr>
          <w:p w:rsidR="00412617" w:rsidRPr="00181265" w:rsidP="00412617" w14:paraId="2381002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bookmarkStart w:id="7" w:name="OLE_LINK1"/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№ з/п</w:t>
            </w:r>
          </w:p>
          <w:p w:rsidR="00412617" w:rsidRPr="00181265" w:rsidP="00412617" w14:paraId="0B146EB2" w14:textId="6B5B2AA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  <w:vMerge w:val="restart"/>
          </w:tcPr>
          <w:p w:rsidR="00412617" w:rsidRPr="00181265" w:rsidP="00412617" w14:paraId="49860765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Назви модулів і тем</w:t>
            </w:r>
          </w:p>
          <w:p w:rsidR="00412617" w:rsidRPr="00181265" w:rsidP="00412617" w14:paraId="29E76820" w14:textId="26EF686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39" w:type="pct"/>
            <w:vMerge w:val="restart"/>
            <w:textDirection w:val="btLr"/>
          </w:tcPr>
          <w:p w:rsidR="00412617" w:rsidRPr="00181265" w:rsidP="008C7C9A" w14:paraId="04D79E8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кредитів/ годин</w:t>
            </w:r>
          </w:p>
          <w:p w:rsidR="00412617" w:rsidRPr="00181265" w:rsidP="008C7C9A" w14:paraId="1B9D3067" w14:textId="35D699D0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381" w:type="pct"/>
            <w:gridSpan w:val="4"/>
          </w:tcPr>
          <w:p w:rsidR="00412617" w:rsidRPr="00181265" w:rsidP="00412617" w14:paraId="367012D9" w14:textId="3500662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годин</w:t>
            </w:r>
          </w:p>
        </w:tc>
      </w:tr>
      <w:tr w14:paraId="53373736" w14:textId="77777777" w:rsidTr="000D554B">
        <w:tblPrEx>
          <w:tblW w:w="5000" w:type="pct"/>
          <w:tblLook w:val="04A0"/>
        </w:tblPrEx>
        <w:trPr>
          <w:cantSplit/>
          <w:trHeight w:val="1971"/>
        </w:trPr>
        <w:tc>
          <w:tcPr>
            <w:tcW w:w="279" w:type="pct"/>
            <w:vMerge/>
          </w:tcPr>
          <w:p w:rsidR="00412617" w:rsidRPr="00181265" w:rsidP="00412617" w14:paraId="61EF08E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  <w:vMerge/>
          </w:tcPr>
          <w:p w:rsidR="00412617" w:rsidRPr="00181265" w:rsidP="00412617" w14:paraId="2A353AF8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39" w:type="pct"/>
            <w:vMerge/>
          </w:tcPr>
          <w:p w:rsidR="00412617" w:rsidRPr="00181265" w:rsidP="00412617" w14:paraId="4868C8F3" w14:textId="2D9255B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textDirection w:val="btLr"/>
          </w:tcPr>
          <w:p w:rsidR="00412617" w:rsidRPr="00181265" w:rsidP="00412617" w14:paraId="76F1F481" w14:textId="371492BB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Очні заняття</w:t>
            </w:r>
          </w:p>
        </w:tc>
        <w:tc>
          <w:tcPr>
            <w:tcW w:w="357" w:type="pct"/>
            <w:textDirection w:val="btLr"/>
            <w:vAlign w:val="center"/>
          </w:tcPr>
          <w:p w:rsidR="00412617" w:rsidRPr="00181265" w:rsidP="00412617" w14:paraId="3B3DFE16" w14:textId="1EBDB201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Дистанційні</w:t>
            </w: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357" w:type="pct"/>
            <w:textDirection w:val="btLr"/>
            <w:vAlign w:val="center"/>
          </w:tcPr>
          <w:p w:rsidR="00412617" w:rsidRPr="00181265" w:rsidP="00412617" w14:paraId="54496A55" w14:textId="716E3872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Інтерактивні лекції, тренінги</w:t>
            </w:r>
          </w:p>
        </w:tc>
        <w:tc>
          <w:tcPr>
            <w:tcW w:w="367" w:type="pct"/>
            <w:textDirection w:val="btLr"/>
            <w:vAlign w:val="center"/>
          </w:tcPr>
          <w:p w:rsidR="00412617" w:rsidRPr="00181265" w:rsidP="00412617" w14:paraId="1F811EA4" w14:textId="588E4510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14:paraId="03CD12F0" w14:textId="77777777" w:rsidTr="000D554B">
        <w:tblPrEx>
          <w:tblW w:w="5000" w:type="pct"/>
          <w:tblLook w:val="04A0"/>
        </w:tblPrEx>
        <w:trPr>
          <w:trHeight w:val="234"/>
        </w:trPr>
        <w:tc>
          <w:tcPr>
            <w:tcW w:w="279" w:type="pct"/>
          </w:tcPr>
          <w:p w:rsidR="0056264A" w:rsidRPr="00181265" w:rsidP="0056264A" w14:paraId="1C1FDDE2" w14:textId="28F9364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0" w:type="pct"/>
          </w:tcPr>
          <w:p w:rsidR="0056264A" w:rsidRPr="00181265" w:rsidP="0056264A" w14:paraId="0D8FD6D6" w14:textId="6A81F3ED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1.</w:t>
            </w:r>
          </w:p>
        </w:tc>
        <w:tc>
          <w:tcPr>
            <w:tcW w:w="539" w:type="pct"/>
            <w:vAlign w:val="bottom"/>
          </w:tcPr>
          <w:p w:rsidR="0056264A" w:rsidRPr="00181265" w:rsidP="0056264A" w14:paraId="084DFB25" w14:textId="6EB0AB1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74/2,47</w:t>
            </w:r>
          </w:p>
        </w:tc>
        <w:tc>
          <w:tcPr>
            <w:tcW w:w="300" w:type="pct"/>
          </w:tcPr>
          <w:p w:rsidR="0056264A" w:rsidRPr="00181265" w:rsidP="0056264A" w14:paraId="32A87CD4" w14:textId="173A60C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56264A" w:rsidRPr="00181265" w:rsidP="0056264A" w14:paraId="04C9A850" w14:textId="1A8D66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57" w:type="pct"/>
            <w:vAlign w:val="bottom"/>
          </w:tcPr>
          <w:p w:rsidR="0056264A" w:rsidRPr="00181265" w:rsidP="0056264A" w14:paraId="474AA9A1" w14:textId="1482B23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67" w:type="pct"/>
            <w:vAlign w:val="bottom"/>
          </w:tcPr>
          <w:p w:rsidR="0056264A" w:rsidRPr="00181265" w:rsidP="0056264A" w14:paraId="165A518B" w14:textId="2A85566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14:paraId="67E71ED8" w14:textId="77777777" w:rsidTr="000D554B">
        <w:tblPrEx>
          <w:tblW w:w="5000" w:type="pct"/>
          <w:tblLook w:val="04A0"/>
        </w:tblPrEx>
        <w:trPr>
          <w:trHeight w:val="234"/>
        </w:trPr>
        <w:tc>
          <w:tcPr>
            <w:tcW w:w="279" w:type="pct"/>
          </w:tcPr>
          <w:p w:rsidR="0056264A" w:rsidRPr="00181265" w:rsidP="0056264A" w14:paraId="4141CB9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56264A" w:rsidRPr="00181265" w:rsidP="0056264A" w14:paraId="142C3BA5" w14:textId="4E0A05BE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Становлення трансфузіології як науки. </w:t>
            </w:r>
          </w:p>
        </w:tc>
        <w:tc>
          <w:tcPr>
            <w:tcW w:w="539" w:type="pct"/>
            <w:vAlign w:val="bottom"/>
          </w:tcPr>
          <w:p w:rsidR="0056264A" w:rsidRPr="00181265" w:rsidP="0056264A" w14:paraId="7FF8EFF8" w14:textId="4485802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56264A" w:rsidRPr="00181265" w:rsidP="0056264A" w14:paraId="0C1B04CB" w14:textId="5091670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56264A" w:rsidRPr="00181265" w:rsidP="0056264A" w14:paraId="0393916D" w14:textId="752A46BD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56264A" w:rsidRPr="00181265" w:rsidP="0056264A" w14:paraId="4F3EC67B" w14:textId="71E8C0A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56264A" w:rsidRPr="00181265" w:rsidP="0056264A" w14:paraId="36514C41" w14:textId="0933105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8202C26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56264A" w:rsidRPr="00181265" w:rsidP="0056264A" w14:paraId="6CEE261F" w14:textId="6F4E34D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56264A" w:rsidRPr="00181265" w:rsidP="0056264A" w14:paraId="073968FA" w14:textId="49FA6B3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Досягнення сучасної трансфузіології.</w:t>
            </w:r>
          </w:p>
        </w:tc>
        <w:tc>
          <w:tcPr>
            <w:tcW w:w="539" w:type="pct"/>
            <w:vAlign w:val="bottom"/>
          </w:tcPr>
          <w:p w:rsidR="0056264A" w:rsidRPr="00181265" w:rsidP="0056264A" w14:paraId="407D0015" w14:textId="0E1F50C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56264A" w:rsidRPr="00181265" w:rsidP="0056264A" w14:paraId="1679077D" w14:textId="359EF90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56264A" w:rsidRPr="00181265" w:rsidP="0056264A" w14:paraId="3C21026E" w14:textId="3D9727E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56264A" w:rsidRPr="00181265" w:rsidP="0056264A" w14:paraId="5966FC64" w14:textId="23DC263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56264A" w:rsidRPr="00181265" w:rsidP="0056264A" w14:paraId="5EED7EA3" w14:textId="58513FF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4D121649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8305D7" w:rsidRPr="00181265" w:rsidP="008305D7" w14:paraId="66788CDC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8305D7" w:rsidRPr="00181265" w:rsidP="008305D7" w14:paraId="39C0C032" w14:textId="73E67C2D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Лабораторне обладнання: 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рефрежираторна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центрифуга, 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гемопрокатувач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термостат, 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шейкер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, холодильне обладнання, 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плазмоекстрактор</w:t>
            </w: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</w:tcPr>
          <w:p w:rsidR="008305D7" w:rsidRPr="00181265" w:rsidP="008305D7" w14:paraId="329A03B3" w14:textId="0329969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8305D7" w:rsidRPr="00181265" w:rsidP="008305D7" w14:paraId="598CB315" w14:textId="2EC523E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8305D7" w:rsidRPr="00181265" w:rsidP="008305D7" w14:paraId="05BF0A4B" w14:textId="6AE3375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8305D7" w:rsidRPr="00181265" w:rsidP="008305D7" w14:paraId="0CFA94AC" w14:textId="4FB32FB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8305D7" w:rsidRPr="00181265" w:rsidP="008305D7" w14:paraId="04265185" w14:textId="400F61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74C81617" w14:textId="77777777" w:rsidTr="000D554B">
        <w:tblPrEx>
          <w:tblW w:w="5000" w:type="pct"/>
          <w:tblLook w:val="04A0"/>
        </w:tblPrEx>
        <w:trPr>
          <w:trHeight w:val="505"/>
        </w:trPr>
        <w:tc>
          <w:tcPr>
            <w:tcW w:w="279" w:type="pct"/>
          </w:tcPr>
          <w:p w:rsidR="008305D7" w:rsidRPr="00181265" w:rsidP="008305D7" w14:paraId="4889EC1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8305D7" w:rsidRPr="00181265" w:rsidP="008305D7" w14:paraId="6E320923" w14:textId="7DBF13F8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Особливості трансфузіології у собак</w:t>
            </w:r>
          </w:p>
        </w:tc>
        <w:tc>
          <w:tcPr>
            <w:tcW w:w="539" w:type="pct"/>
          </w:tcPr>
          <w:p w:rsidR="008305D7" w:rsidRPr="00181265" w:rsidP="008305D7" w14:paraId="10957010" w14:textId="5CEED5B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8305D7" w:rsidRPr="00181265" w:rsidP="008305D7" w14:paraId="4FF8E277" w14:textId="5BFEB63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8305D7" w:rsidRPr="00181265" w:rsidP="008305D7" w14:paraId="1A14C21B" w14:textId="29CEDDB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8305D7" w:rsidRPr="00181265" w:rsidP="008305D7" w14:paraId="2967353D" w14:textId="2839BB7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8305D7" w:rsidRPr="00181265" w:rsidP="008305D7" w14:paraId="77723E2C" w14:textId="292A162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742DBAE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8305D7" w:rsidRPr="00181265" w:rsidP="008305D7" w14:paraId="640A6E13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8305D7" w:rsidRPr="00181265" w:rsidP="008305D7" w14:paraId="7F2DCCB4" w14:textId="684589B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Фізіологія крові собак</w:t>
            </w:r>
          </w:p>
        </w:tc>
        <w:tc>
          <w:tcPr>
            <w:tcW w:w="539" w:type="pct"/>
            <w:vAlign w:val="bottom"/>
          </w:tcPr>
          <w:p w:rsidR="008305D7" w:rsidRPr="00181265" w:rsidP="008305D7" w14:paraId="1B13149F" w14:textId="1D5A382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8305D7" w:rsidRPr="00181265" w:rsidP="008305D7" w14:paraId="460ADBB9" w14:textId="2929B75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8305D7" w:rsidRPr="00181265" w:rsidP="008305D7" w14:paraId="299C1862" w14:textId="406A80C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8305D7" w:rsidRPr="00181265" w:rsidP="008305D7" w14:paraId="646028B6" w14:textId="4B16722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67" w:type="pct"/>
            <w:vAlign w:val="bottom"/>
          </w:tcPr>
          <w:p w:rsidR="008305D7" w:rsidRPr="00181265" w:rsidP="008305D7" w14:paraId="5806C866" w14:textId="50DADBB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03611799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8305D7" w:rsidRPr="00181265" w:rsidP="008305D7" w14:paraId="15558D64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8305D7" w:rsidRPr="00181265" w:rsidP="008305D7" w14:paraId="0E1DE2BD" w14:textId="5F6DB400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груп крові у собак. Методи відбору крові у собак.</w:t>
            </w:r>
          </w:p>
        </w:tc>
        <w:tc>
          <w:tcPr>
            <w:tcW w:w="539" w:type="pct"/>
            <w:vAlign w:val="bottom"/>
          </w:tcPr>
          <w:p w:rsidR="008305D7" w:rsidRPr="00181265" w:rsidP="008305D7" w14:paraId="2B9022FC" w14:textId="6024532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8305D7" w:rsidRPr="00181265" w:rsidP="008305D7" w14:paraId="539AEB79" w14:textId="0AE3F31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8305D7" w:rsidRPr="00181265" w:rsidP="008305D7" w14:paraId="79485732" w14:textId="45CC1B5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8305D7" w:rsidRPr="00181265" w:rsidP="008305D7" w14:paraId="67461BFD" w14:textId="49D8E0F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8305D7" w:rsidRPr="00181265" w:rsidP="008305D7" w14:paraId="07AC9873" w14:textId="2C780E2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ABFE69D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44E9F23E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5DFF025F" w14:textId="1BE5DB8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Особливості трансфузіології у котів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1B0AEC27" w14:textId="69E34AD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0D124E64" w14:textId="65F29F2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12560AFA" w14:textId="4241EBB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09EFD897" w14:textId="5CE78DC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5154BC12" w14:textId="14C3E17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7249846B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775343C2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505B6376" w14:textId="78182ED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Фізіологія крові домашніх котів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5D03749E" w14:textId="74CD53D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4D4B99" w:rsidRPr="00181265" w:rsidP="004D4B99" w14:paraId="689DA790" w14:textId="27CFE85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03323B2C" w14:textId="75FBBCA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3914C420" w14:textId="3A36832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6CB4E1DB" w14:textId="39AE1A6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44C093D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73F84D5A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17BC63C5" w14:textId="491BFD4A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груп крові у котів. Методи відбору крові.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314C2999" w14:textId="6D35906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51E4B2CA" w14:textId="6E12322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4DABD1EA" w14:textId="5581BE0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4D4B99" w:rsidRPr="00181265" w:rsidP="004D4B99" w14:paraId="53A0D260" w14:textId="5C57FB0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5BB39AF1" w14:textId="6738B34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5020D82D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1ED1C08C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6FD4765A" w14:textId="4648BE2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Особливості трансфузіології у продуктивних тварин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6D5C2261" w14:textId="681139E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4D4B99" w:rsidRPr="00181265" w:rsidP="004D4B99" w14:paraId="029FCEFD" w14:textId="4B1A80A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47D47B2E" w14:textId="6D638DD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4D4B99" w:rsidRPr="00181265" w:rsidP="004D4B99" w14:paraId="3D866131" w14:textId="3646B77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674B583C" w14:textId="58816FC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75FE76C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60E5680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5BD4C95B" w14:textId="1C49585E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Особливості трансфузіології у екзотичних тварин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0D3D88B8" w14:textId="31EAF02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0CB2BA76" w14:textId="52C7080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3FA7FC83" w14:textId="1F44A07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2A8EF78C" w14:textId="5851442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49BB740D" w14:textId="3E0C64F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909F102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40D5D4C1" w14:textId="5A02E7A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0" w:type="pct"/>
          </w:tcPr>
          <w:p w:rsidR="004D4B99" w:rsidRPr="00181265" w:rsidP="004D4B99" w14:paraId="664FC228" w14:textId="018F1E1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Змістовий модуль 2.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1CD874C4" w14:textId="62903F3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76/2,53</w:t>
            </w:r>
          </w:p>
        </w:tc>
        <w:tc>
          <w:tcPr>
            <w:tcW w:w="300" w:type="pct"/>
          </w:tcPr>
          <w:p w:rsidR="004D4B99" w:rsidRPr="00181265" w:rsidP="004D4B99" w14:paraId="37043CD3" w14:textId="02D9307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389E3847" w14:textId="346009A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28E1DC87" w14:textId="40B1859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7BD5ED9F" w14:textId="7A78BFF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14:paraId="0FE30040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55F6F579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7E33F560" w14:textId="219AD923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Сучасні та перспективні методи розділення донорської крові на окремі компоненти  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2A595C96" w14:textId="15557D6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4141B1F2" w14:textId="0BB8D3E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10546762" w14:textId="4CA6059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4D4B99" w:rsidRPr="00181265" w:rsidP="004D4B99" w14:paraId="110EE59C" w14:textId="1830F59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038B3E55" w14:textId="294AF1E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671BAD6E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69EE04EB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6B3F9C10" w14:textId="32E6A283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механізм дії різних компонентів крові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0252F2D9" w14:textId="44A8A6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4D4B99" w:rsidRPr="00181265" w:rsidP="004D4B99" w14:paraId="433B2B00" w14:textId="6125338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4FED735F" w14:textId="635E050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4D4B99" w:rsidRPr="00181265" w:rsidP="004D4B99" w14:paraId="636FE238" w14:textId="030D3A9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56466EF6" w14:textId="18BDD4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7079B766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7F4D2A7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4E6310D7" w14:textId="0DDDD3C7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Ефективність застосування різних компонентів крові за патології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4989DA74" w14:textId="683F287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12</w:t>
            </w: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/0,</w:t>
            </w: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00" w:type="pct"/>
          </w:tcPr>
          <w:p w:rsidR="004D4B99" w:rsidRPr="00181265" w:rsidP="004D4B99" w14:paraId="488E5F85" w14:textId="256F3F2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18F340D1" w14:textId="052E57C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57" w:type="pct"/>
          </w:tcPr>
          <w:p w:rsidR="004D4B99" w:rsidRPr="00181265" w:rsidP="004D4B99" w14:paraId="470A610D" w14:textId="0461CFB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743A025E" w14:textId="4C64F31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642E187A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0FDD038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2CDC086A" w14:textId="7A548452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Сучасне уявлення про групи крові тварин</w:t>
            </w:r>
          </w:p>
        </w:tc>
        <w:tc>
          <w:tcPr>
            <w:tcW w:w="539" w:type="pct"/>
          </w:tcPr>
          <w:p w:rsidR="004D4B99" w:rsidRPr="00181265" w:rsidP="004D4B99" w14:paraId="103B85DB" w14:textId="047758C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568AD0A3" w14:textId="37D6E6A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2672F241" w14:textId="04CE5A7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22C476D1" w14:textId="755E7C0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660EE32D" w14:textId="398A991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4B437DB0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2D29AD06" w14:textId="474916F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32DF932D" w14:textId="54A7DDEE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Оцінка ризиків за підготовки </w:t>
            </w:r>
            <w:r w:rsidRPr="00181265" w:rsidR="0091668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тварини</w:t>
            </w: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-реципієнта до трансфузії.</w:t>
            </w:r>
          </w:p>
        </w:tc>
        <w:tc>
          <w:tcPr>
            <w:tcW w:w="539" w:type="pct"/>
          </w:tcPr>
          <w:p w:rsidR="004D4B99" w:rsidRPr="00181265" w:rsidP="004D4B99" w14:paraId="461DF093" w14:textId="1CD6612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05A31F55" w14:textId="4A5C726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5DF5B0E1" w14:textId="7B72493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358FA000" w14:textId="44C9A6C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61F9E7EE" w14:textId="0B8C2B1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68CDE6AC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42D80F2E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75CB2D80" w14:textId="017C8651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Методи визначення груп крові у різних видів тварин, реакція на сумісність крові.</w:t>
            </w:r>
          </w:p>
        </w:tc>
        <w:tc>
          <w:tcPr>
            <w:tcW w:w="539" w:type="pct"/>
          </w:tcPr>
          <w:p w:rsidR="004D4B99" w:rsidRPr="00181265" w:rsidP="004D4B99" w14:paraId="0E9D86E2" w14:textId="1662F1D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4C4C377C" w14:textId="579EE24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22F97068" w14:textId="6A6EF08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565A0FE2" w14:textId="071133E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58204397" w14:textId="594E8AD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235B333E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57CA7D31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0E3197B9" w14:textId="7953C318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Гемотрансфузійні</w:t>
            </w: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ризики</w:t>
            </w:r>
          </w:p>
        </w:tc>
        <w:tc>
          <w:tcPr>
            <w:tcW w:w="539" w:type="pct"/>
          </w:tcPr>
          <w:p w:rsidR="004D4B99" w:rsidRPr="00181265" w:rsidP="004D4B99" w14:paraId="1F963C4C" w14:textId="2959874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6193E9E7" w14:textId="055B31A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028128E6" w14:textId="3D0F7F4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300ABB33" w14:textId="3A021E6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26BC5D7C" w14:textId="6539BD9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A4E68FB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6E620DA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42B1A132" w14:textId="7C0E4400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Основи </w:t>
            </w: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імуногематології</w:t>
            </w: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39" w:type="pct"/>
          </w:tcPr>
          <w:p w:rsidR="004D4B99" w:rsidRPr="00181265" w:rsidP="004D4B99" w14:paraId="3381CE8F" w14:textId="61D420F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</w:tcPr>
          <w:p w:rsidR="004D4B99" w:rsidRPr="00181265" w:rsidP="004D4B99" w14:paraId="15DE2429" w14:textId="168CC38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061DF511" w14:textId="1692C52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464F3B2F" w14:textId="7E5559A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689E41C7" w14:textId="3156BE6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E839906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1592813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:rsidR="004D4B99" w:rsidRPr="00181265" w:rsidP="004D4B99" w14:paraId="3072D1F3" w14:textId="460358D7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Імунологічні дослідження в трансфузіології</w:t>
            </w:r>
          </w:p>
        </w:tc>
        <w:tc>
          <w:tcPr>
            <w:tcW w:w="539" w:type="pct"/>
          </w:tcPr>
          <w:p w:rsidR="004D4B99" w:rsidRPr="00181265" w:rsidP="004D4B99" w14:paraId="3FED2401" w14:textId="01043DC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</w:tcPr>
          <w:p w:rsidR="004D4B99" w:rsidRPr="00181265" w:rsidP="004D4B99" w14:paraId="078B1435" w14:textId="31363FE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7D92E08F" w14:textId="17A1198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06BDCDB5" w14:textId="2B5DBF7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3A8940B1" w14:textId="67D2340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53D6D94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17F83E73" w14:textId="70A175D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0" w:type="pct"/>
          </w:tcPr>
          <w:p w:rsidR="004D4B99" w:rsidRPr="00181265" w:rsidP="004D4B99" w14:paraId="298085BD" w14:textId="2A4FB462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429773D5" w14:textId="7C61637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4/0,13</w:t>
            </w:r>
          </w:p>
        </w:tc>
        <w:tc>
          <w:tcPr>
            <w:tcW w:w="300" w:type="pct"/>
          </w:tcPr>
          <w:p w:rsidR="004D4B99" w:rsidRPr="00181265" w:rsidP="004D4B99" w14:paraId="474399DB" w14:textId="12444AC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07723A7B" w14:textId="183B818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</w:tcPr>
          <w:p w:rsidR="004D4B99" w:rsidRPr="00181265" w:rsidP="004D4B99" w14:paraId="443A44F1" w14:textId="0F13187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0A73BD9A" w14:textId="6A9E31C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A5B1404" w14:textId="77777777" w:rsidTr="000D554B">
        <w:tblPrEx>
          <w:tblW w:w="5000" w:type="pct"/>
          <w:tblLook w:val="04A0"/>
        </w:tblPrEx>
        <w:tc>
          <w:tcPr>
            <w:tcW w:w="279" w:type="pct"/>
          </w:tcPr>
          <w:p w:rsidR="004D4B99" w:rsidRPr="00181265" w:rsidP="004D4B99" w14:paraId="06AD24A9" w14:textId="7D31D5D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0" w:type="pct"/>
          </w:tcPr>
          <w:p w:rsidR="004D4B99" w:rsidRPr="00181265" w:rsidP="004D4B99" w14:paraId="3B640F55" w14:textId="7098155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39" w:type="pct"/>
            <w:vAlign w:val="bottom"/>
          </w:tcPr>
          <w:p w:rsidR="004D4B99" w:rsidRPr="00181265" w:rsidP="004D4B99" w14:paraId="08AD029A" w14:textId="75791FA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150/5</w:t>
            </w:r>
          </w:p>
        </w:tc>
        <w:tc>
          <w:tcPr>
            <w:tcW w:w="300" w:type="pct"/>
            <w:vAlign w:val="bottom"/>
          </w:tcPr>
          <w:p w:rsidR="004D4B99" w:rsidRPr="00181265" w:rsidP="004D4B99" w14:paraId="704995CD" w14:textId="42BF392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5204BABB" w14:textId="3DE455A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357" w:type="pct"/>
            <w:vAlign w:val="bottom"/>
          </w:tcPr>
          <w:p w:rsidR="004D4B99" w:rsidRPr="00181265" w:rsidP="004D4B99" w14:paraId="1A7C6915" w14:textId="46867FC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67" w:type="pct"/>
            <w:vAlign w:val="bottom"/>
          </w:tcPr>
          <w:p w:rsidR="004D4B99" w:rsidRPr="00181265" w:rsidP="004D4B99" w14:paraId="31D8199B" w14:textId="4518EE4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2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bookmarkEnd w:id="7"/>
    </w:tbl>
    <w:p w:rsidR="00B55C45" w:rsidRPr="00181265" w:rsidP="00305295" w14:paraId="597E6BFC" w14:textId="79400E05">
      <w:pPr>
        <w:pStyle w:val="210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E54CC5" w:rsidRPr="00181265" w:rsidP="00305295" w14:paraId="2966BE7E" w14:textId="2E8B9C87">
      <w:pPr>
        <w:pStyle w:val="210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8E67AD" w:rsidRPr="00181265" w:rsidP="00305295" w14:paraId="3D00B98A" w14:textId="00AC7D33">
      <w:pPr>
        <w:pStyle w:val="210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56264A" w:rsidRPr="00181265" w:rsidP="00305295" w14:paraId="744BBD07" w14:textId="189FBBE5">
      <w:pPr>
        <w:pStyle w:val="210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D85187" w:rsidRPr="00181265" w:rsidP="00A30E25" w14:paraId="19A5A66F" w14:textId="3B36C91D">
      <w:pPr>
        <w:pStyle w:val="210"/>
        <w:keepNext/>
        <w:keepLines/>
        <w:spacing w:after="0" w:line="360" w:lineRule="auto"/>
        <w:ind w:left="360"/>
        <w:rPr>
          <w:rFonts w:ascii="Times New Roman" w:hAnsi="Times New Roman" w:cs="Times New Roman"/>
          <w:lang w:val="uk-UA"/>
        </w:rPr>
      </w:pPr>
      <w:bookmarkStart w:id="8" w:name="bookmark27"/>
      <w:bookmarkStart w:id="9" w:name="bookmark28"/>
      <w:bookmarkStart w:id="10" w:name="bookmark29"/>
      <w:r w:rsidRPr="00181265">
        <w:rPr>
          <w:rFonts w:ascii="Times New Roman" w:eastAsia="Times New Roman" w:hAnsi="Times New Roman" w:cs="Times New Roman"/>
          <w:color w:val="000000"/>
          <w:lang w:val="uk-UA"/>
        </w:rPr>
        <w:t xml:space="preserve">5. </w:t>
      </w:r>
      <w:r w:rsidRPr="00181265">
        <w:rPr>
          <w:rFonts w:ascii="Times New Roman" w:eastAsia="Times New Roman" w:hAnsi="Times New Roman" w:cs="Times New Roman"/>
          <w:color w:val="000000"/>
          <w:lang w:val="uk-UA"/>
        </w:rPr>
        <w:t>Рекомендована література</w:t>
      </w:r>
      <w:bookmarkEnd w:id="8"/>
      <w:bookmarkEnd w:id="9"/>
      <w:bookmarkEnd w:id="10"/>
    </w:p>
    <w:p w:rsidR="002A4E57" w:rsidRPr="00181265" w:rsidP="002A4E57" w14:paraId="13227786" w14:textId="4B6BCFE0">
      <w:pPr>
        <w:tabs>
          <w:tab w:val="left" w:pos="1134"/>
        </w:tabs>
        <w:spacing w:line="360" w:lineRule="auto"/>
        <w:jc w:val="center"/>
        <w:rPr>
          <w:b/>
          <w:i/>
          <w:iCs/>
          <w:sz w:val="28"/>
          <w:lang w:val="uk-UA"/>
        </w:rPr>
      </w:pPr>
      <w:bookmarkStart w:id="11" w:name="bookmark30"/>
      <w:bookmarkStart w:id="12" w:name="bookmark31"/>
      <w:bookmarkStart w:id="13" w:name="bookmark32"/>
      <w:bookmarkStart w:id="14" w:name="bookmark35"/>
      <w:bookmarkEnd w:id="11"/>
      <w:bookmarkEnd w:id="12"/>
      <w:bookmarkEnd w:id="13"/>
      <w:bookmarkEnd w:id="14"/>
      <w:r w:rsidRPr="00181265">
        <w:rPr>
          <w:b/>
          <w:i/>
          <w:iCs/>
          <w:sz w:val="28"/>
          <w:lang w:val="uk-UA"/>
        </w:rPr>
        <w:t>Основна</w:t>
      </w:r>
    </w:p>
    <w:p w:rsidR="00AF039A" w:rsidRPr="00181265" w:rsidP="000B6A35" w14:paraId="7EC95107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181265">
        <w:rPr>
          <w:bCs/>
          <w:sz w:val="28"/>
          <w:lang w:val="uk-UA"/>
        </w:rPr>
        <w:t xml:space="preserve">Закон України «Про ветеринарну медицину». – К., 2020. </w:t>
      </w:r>
    </w:p>
    <w:p w:rsidR="00AF039A" w:rsidRPr="00181265" w:rsidP="000B6A35" w14:paraId="2B231AF1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181265">
        <w:rPr>
          <w:bCs/>
          <w:sz w:val="28"/>
          <w:szCs w:val="28"/>
          <w:lang w:val="uk-UA"/>
        </w:rPr>
        <w:t>Сухонос</w:t>
      </w:r>
      <w:r w:rsidRPr="00181265">
        <w:rPr>
          <w:bCs/>
          <w:sz w:val="28"/>
          <w:szCs w:val="28"/>
          <w:lang w:val="uk-UA"/>
        </w:rPr>
        <w:t xml:space="preserve"> В.П., Малюк М.О., </w:t>
      </w:r>
      <w:r w:rsidRPr="00181265">
        <w:rPr>
          <w:bCs/>
          <w:sz w:val="28"/>
          <w:szCs w:val="28"/>
          <w:lang w:val="uk-UA"/>
        </w:rPr>
        <w:t>Куліда</w:t>
      </w:r>
      <w:r w:rsidRPr="00181265">
        <w:rPr>
          <w:bCs/>
          <w:sz w:val="28"/>
          <w:szCs w:val="28"/>
          <w:lang w:val="uk-UA"/>
        </w:rPr>
        <w:t xml:space="preserve"> М.А., </w:t>
      </w:r>
      <w:r w:rsidRPr="00181265">
        <w:rPr>
          <w:bCs/>
          <w:sz w:val="28"/>
          <w:szCs w:val="28"/>
          <w:lang w:val="uk-UA"/>
        </w:rPr>
        <w:t>Солонін</w:t>
      </w:r>
      <w:r w:rsidRPr="00181265">
        <w:rPr>
          <w:bCs/>
          <w:sz w:val="28"/>
          <w:szCs w:val="28"/>
          <w:lang w:val="uk-UA"/>
        </w:rPr>
        <w:t xml:space="preserve"> П.К. та ін. Оперативна хірургія з основами топографічної анатомії, анестезіологія (частина 1). Підручник. Київ – 2021 НУБіП України. С. 459. </w:t>
      </w:r>
    </w:p>
    <w:p w:rsidR="00AF039A" w:rsidRPr="00181265" w:rsidP="000B6A35" w14:paraId="3744892A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181265">
        <w:rPr>
          <w:bCs/>
          <w:sz w:val="28"/>
          <w:szCs w:val="28"/>
          <w:lang w:val="uk-UA"/>
        </w:rPr>
        <w:t>Цвіліховський</w:t>
      </w:r>
      <w:r w:rsidRPr="00181265">
        <w:rPr>
          <w:bCs/>
          <w:sz w:val="28"/>
          <w:szCs w:val="28"/>
          <w:lang w:val="uk-UA"/>
        </w:rPr>
        <w:t xml:space="preserve"> М.І., Бойко Н.І., </w:t>
      </w:r>
      <w:r w:rsidRPr="00181265">
        <w:rPr>
          <w:bCs/>
          <w:sz w:val="28"/>
          <w:szCs w:val="28"/>
          <w:lang w:val="uk-UA"/>
        </w:rPr>
        <w:t>Немова</w:t>
      </w:r>
      <w:r w:rsidRPr="00181265">
        <w:rPr>
          <w:bCs/>
          <w:sz w:val="28"/>
          <w:szCs w:val="28"/>
          <w:lang w:val="uk-UA"/>
        </w:rPr>
        <w:t xml:space="preserve"> Т.В., Бойко Г.В., </w:t>
      </w:r>
      <w:r w:rsidRPr="00181265">
        <w:rPr>
          <w:bCs/>
          <w:sz w:val="28"/>
          <w:szCs w:val="28"/>
          <w:lang w:val="uk-UA"/>
        </w:rPr>
        <w:t>Голопура</w:t>
      </w:r>
      <w:r w:rsidRPr="00181265">
        <w:rPr>
          <w:bCs/>
          <w:sz w:val="28"/>
          <w:szCs w:val="28"/>
          <w:lang w:val="uk-UA"/>
        </w:rPr>
        <w:t xml:space="preserve"> С.І. Клінічна лабораторна діагностика (навчальний посібник). Київ – 2020. С. 259. </w:t>
      </w:r>
    </w:p>
    <w:p w:rsidR="00AF039A" w:rsidRPr="00181265" w:rsidP="000B6A35" w14:paraId="7944B83F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181265">
        <w:rPr>
          <w:bCs/>
          <w:sz w:val="28"/>
          <w:szCs w:val="28"/>
          <w:lang w:val="uk-UA"/>
        </w:rPr>
        <w:t xml:space="preserve"> </w:t>
      </w:r>
      <w:r w:rsidRPr="00181265">
        <w:rPr>
          <w:bCs/>
          <w:sz w:val="28"/>
          <w:szCs w:val="28"/>
          <w:lang w:val="uk-UA"/>
        </w:rPr>
        <w:t>Мазуркевич</w:t>
      </w:r>
      <w:r w:rsidRPr="00181265">
        <w:rPr>
          <w:bCs/>
          <w:sz w:val="28"/>
          <w:szCs w:val="28"/>
          <w:lang w:val="uk-UA"/>
        </w:rPr>
        <w:t xml:space="preserve"> А.Й., </w:t>
      </w:r>
      <w:r w:rsidRPr="00181265">
        <w:rPr>
          <w:bCs/>
          <w:sz w:val="28"/>
          <w:szCs w:val="28"/>
          <w:lang w:val="uk-UA"/>
        </w:rPr>
        <w:t>Скибіцький</w:t>
      </w:r>
      <w:r w:rsidRPr="00181265">
        <w:rPr>
          <w:bCs/>
          <w:sz w:val="28"/>
          <w:szCs w:val="28"/>
          <w:lang w:val="uk-UA"/>
        </w:rPr>
        <w:t xml:space="preserve"> В.Г., </w:t>
      </w:r>
      <w:r w:rsidRPr="00181265">
        <w:rPr>
          <w:bCs/>
          <w:sz w:val="28"/>
          <w:szCs w:val="28"/>
          <w:lang w:val="uk-UA"/>
        </w:rPr>
        <w:t>Харкевич</w:t>
      </w:r>
      <w:r w:rsidRPr="00181265">
        <w:rPr>
          <w:bCs/>
          <w:sz w:val="28"/>
          <w:szCs w:val="28"/>
          <w:lang w:val="uk-UA"/>
        </w:rPr>
        <w:t xml:space="preserve"> Ю.О., </w:t>
      </w:r>
      <w:r w:rsidRPr="00181265">
        <w:rPr>
          <w:bCs/>
          <w:sz w:val="28"/>
          <w:szCs w:val="28"/>
          <w:lang w:val="uk-UA"/>
        </w:rPr>
        <w:t>Данілов</w:t>
      </w:r>
      <w:r w:rsidRPr="00181265">
        <w:rPr>
          <w:bCs/>
          <w:sz w:val="28"/>
          <w:szCs w:val="28"/>
          <w:lang w:val="uk-UA"/>
        </w:rPr>
        <w:t xml:space="preserve"> В.Б., Ковпак В.В. Ветеринарна імунологія (практикум). Київ – 2011. С. 259. </w:t>
      </w:r>
    </w:p>
    <w:p w:rsidR="00AF039A" w:rsidRPr="00181265" w:rsidP="000B6A35" w14:paraId="7F707B4F" w14:textId="7C919D19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181265">
        <w:rPr>
          <w:bCs/>
          <w:sz w:val="28"/>
          <w:szCs w:val="28"/>
          <w:lang w:val="uk-UA"/>
        </w:rPr>
        <w:t xml:space="preserve">Малюк М.О. Методичні вказівки «Особливості </w:t>
      </w:r>
      <w:r w:rsidRPr="00181265">
        <w:rPr>
          <w:bCs/>
          <w:sz w:val="28"/>
          <w:szCs w:val="28"/>
          <w:lang w:val="uk-UA"/>
        </w:rPr>
        <w:t>алогенної</w:t>
      </w:r>
      <w:r w:rsidRPr="00181265">
        <w:rPr>
          <w:bCs/>
          <w:sz w:val="28"/>
          <w:szCs w:val="28"/>
          <w:lang w:val="uk-UA"/>
        </w:rPr>
        <w:t xml:space="preserve"> </w:t>
      </w:r>
      <w:r w:rsidRPr="00181265">
        <w:rPr>
          <w:bCs/>
          <w:sz w:val="28"/>
          <w:szCs w:val="28"/>
          <w:lang w:val="uk-UA"/>
        </w:rPr>
        <w:t>гемотрансфузії</w:t>
      </w:r>
      <w:r w:rsidRPr="00181265">
        <w:rPr>
          <w:bCs/>
          <w:sz w:val="28"/>
          <w:szCs w:val="28"/>
          <w:lang w:val="uk-UA"/>
        </w:rPr>
        <w:t xml:space="preserve"> у котів і собак». Київ 2021. С. 51.</w:t>
      </w:r>
    </w:p>
    <w:p w:rsidR="00AF039A" w:rsidRPr="00181265" w:rsidP="00AF039A" w14:paraId="5DA43B0A" w14:textId="77777777">
      <w:pPr>
        <w:tabs>
          <w:tab w:val="left" w:pos="1134"/>
        </w:tabs>
        <w:spacing w:line="276" w:lineRule="auto"/>
        <w:ind w:right="-2"/>
        <w:rPr>
          <w:b/>
          <w:i/>
          <w:iCs/>
          <w:sz w:val="28"/>
          <w:szCs w:val="28"/>
          <w:lang w:val="uk-UA"/>
        </w:rPr>
      </w:pPr>
    </w:p>
    <w:p w:rsidR="008E67AD" w:rsidRPr="00181265" w:rsidP="008E67AD" w14:paraId="7B244C65" w14:textId="1A1974D8">
      <w:pPr>
        <w:tabs>
          <w:tab w:val="left" w:pos="1134"/>
        </w:tabs>
        <w:spacing w:line="276" w:lineRule="auto"/>
        <w:ind w:right="-2" w:firstLine="709"/>
        <w:jc w:val="center"/>
        <w:rPr>
          <w:i/>
          <w:iCs/>
          <w:sz w:val="28"/>
          <w:szCs w:val="28"/>
          <w:lang w:val="uk-UA"/>
        </w:rPr>
      </w:pPr>
      <w:r w:rsidRPr="00181265">
        <w:rPr>
          <w:b/>
          <w:i/>
          <w:iCs/>
          <w:sz w:val="28"/>
          <w:szCs w:val="28"/>
          <w:lang w:val="uk-UA"/>
        </w:rPr>
        <w:t>Допоміжна</w:t>
      </w:r>
    </w:p>
    <w:p w:rsidR="00EE2945" w:rsidRPr="00181265" w:rsidP="00EE2945" w14:paraId="1011508A" w14:textId="5C5D45F1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lang w:val="uk-UA"/>
        </w:rPr>
      </w:pPr>
      <w:r w:rsidRPr="00181265">
        <w:rPr>
          <w:bCs/>
          <w:sz w:val="28"/>
          <w:lang w:val="uk-UA"/>
        </w:rPr>
        <w:t xml:space="preserve">Загальна ветеринарна хірургія. / </w:t>
      </w:r>
      <w:r w:rsidRPr="00181265">
        <w:rPr>
          <w:bCs/>
          <w:sz w:val="28"/>
          <w:lang w:val="uk-UA"/>
        </w:rPr>
        <w:t>І.С.Панько</w:t>
      </w:r>
      <w:r w:rsidRPr="00181265">
        <w:rPr>
          <w:bCs/>
          <w:sz w:val="28"/>
          <w:lang w:val="uk-UA"/>
        </w:rPr>
        <w:t xml:space="preserve">, .Власенко, </w:t>
      </w:r>
      <w:r w:rsidRPr="00181265">
        <w:rPr>
          <w:bCs/>
          <w:sz w:val="28"/>
          <w:lang w:val="uk-UA"/>
        </w:rPr>
        <w:t>М.В.Рубленко</w:t>
      </w:r>
      <w:r w:rsidRPr="00181265">
        <w:rPr>
          <w:bCs/>
          <w:sz w:val="28"/>
          <w:lang w:val="uk-UA"/>
        </w:rPr>
        <w:t xml:space="preserve"> та ін.; за ред. Панько І.С. (видання друге. </w:t>
      </w:r>
      <w:r w:rsidRPr="00181265">
        <w:rPr>
          <w:bCs/>
          <w:sz w:val="28"/>
          <w:lang w:val="uk-UA"/>
        </w:rPr>
        <w:t>доп</w:t>
      </w:r>
      <w:r w:rsidRPr="00181265">
        <w:rPr>
          <w:bCs/>
          <w:sz w:val="28"/>
          <w:lang w:val="uk-UA"/>
        </w:rPr>
        <w:t xml:space="preserve">. і пре роб) – 2008. – 328 с. </w:t>
      </w:r>
    </w:p>
    <w:p w:rsidR="00AF039A" w:rsidRPr="00181265" w:rsidP="00EE2945" w14:paraId="6FFD187D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lang w:val="uk-UA"/>
        </w:rPr>
      </w:pPr>
      <w:r w:rsidRPr="00181265">
        <w:rPr>
          <w:bCs/>
          <w:sz w:val="28"/>
          <w:lang w:val="uk-UA"/>
        </w:rPr>
        <w:t>Michael</w:t>
      </w:r>
      <w:r w:rsidRPr="00181265">
        <w:rPr>
          <w:bCs/>
          <w:sz w:val="28"/>
          <w:lang w:val="uk-UA"/>
        </w:rPr>
        <w:t xml:space="preserve"> J. </w:t>
      </w:r>
      <w:r w:rsidRPr="00181265">
        <w:rPr>
          <w:bCs/>
          <w:sz w:val="28"/>
          <w:lang w:val="uk-UA"/>
        </w:rPr>
        <w:t>Day</w:t>
      </w:r>
      <w:r w:rsidRPr="00181265">
        <w:rPr>
          <w:bCs/>
          <w:sz w:val="28"/>
          <w:lang w:val="uk-UA"/>
        </w:rPr>
        <w:t xml:space="preserve">, </w:t>
      </w:r>
      <w:r w:rsidRPr="00181265">
        <w:rPr>
          <w:bCs/>
          <w:sz w:val="28"/>
          <w:lang w:val="uk-UA"/>
        </w:rPr>
        <w:t>Andrew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Mackin</w:t>
      </w:r>
      <w:r w:rsidRPr="00181265">
        <w:rPr>
          <w:bCs/>
          <w:sz w:val="28"/>
          <w:lang w:val="uk-UA"/>
        </w:rPr>
        <w:t xml:space="preserve">, </w:t>
      </w:r>
      <w:r w:rsidRPr="00181265">
        <w:rPr>
          <w:bCs/>
          <w:sz w:val="28"/>
          <w:lang w:val="uk-UA"/>
        </w:rPr>
        <w:t>Janet</w:t>
      </w:r>
      <w:r w:rsidRPr="00181265">
        <w:rPr>
          <w:bCs/>
          <w:sz w:val="28"/>
          <w:lang w:val="uk-UA"/>
        </w:rPr>
        <w:t xml:space="preserve"> D. </w:t>
      </w:r>
      <w:r w:rsidRPr="00181265">
        <w:rPr>
          <w:bCs/>
          <w:sz w:val="28"/>
          <w:lang w:val="uk-UA"/>
        </w:rPr>
        <w:t>Littlewood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Manual</w:t>
      </w:r>
      <w:r w:rsidRPr="00181265">
        <w:rPr>
          <w:bCs/>
          <w:sz w:val="28"/>
          <w:lang w:val="uk-UA"/>
        </w:rPr>
        <w:t xml:space="preserve"> of </w:t>
      </w:r>
      <w:r w:rsidRPr="00181265">
        <w:rPr>
          <w:bCs/>
          <w:sz w:val="28"/>
          <w:lang w:val="uk-UA"/>
        </w:rPr>
        <w:t>Canine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and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Feline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Haematology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and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Transfusion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Medicine</w:t>
      </w:r>
      <w:r w:rsidRPr="00181265">
        <w:rPr>
          <w:bCs/>
          <w:sz w:val="28"/>
          <w:lang w:val="uk-UA"/>
        </w:rPr>
        <w:t xml:space="preserve">. 2000. Р. 320. </w:t>
      </w:r>
    </w:p>
    <w:p w:rsidR="00AF039A" w:rsidRPr="00181265" w:rsidP="00EE2945" w14:paraId="62A35A1F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lang w:val="uk-UA"/>
        </w:rPr>
      </w:pPr>
      <w:r w:rsidRPr="00181265">
        <w:rPr>
          <w:bCs/>
          <w:sz w:val="28"/>
          <w:lang w:val="uk-UA"/>
        </w:rPr>
        <w:t>Yagi</w:t>
      </w:r>
      <w:r w:rsidRPr="00181265">
        <w:rPr>
          <w:bCs/>
          <w:sz w:val="28"/>
          <w:lang w:val="uk-UA"/>
        </w:rPr>
        <w:t xml:space="preserve"> K., </w:t>
      </w:r>
      <w:r w:rsidRPr="00181265">
        <w:rPr>
          <w:bCs/>
          <w:sz w:val="28"/>
          <w:lang w:val="uk-UA"/>
        </w:rPr>
        <w:t>Holowaychuk</w:t>
      </w:r>
      <w:r w:rsidRPr="00181265">
        <w:rPr>
          <w:bCs/>
          <w:sz w:val="28"/>
          <w:lang w:val="uk-UA"/>
        </w:rPr>
        <w:t xml:space="preserve"> M. </w:t>
      </w:r>
      <w:r w:rsidRPr="00181265">
        <w:rPr>
          <w:bCs/>
          <w:sz w:val="28"/>
          <w:lang w:val="uk-UA"/>
        </w:rPr>
        <w:t>Manual</w:t>
      </w:r>
      <w:r w:rsidRPr="00181265">
        <w:rPr>
          <w:bCs/>
          <w:sz w:val="28"/>
          <w:lang w:val="uk-UA"/>
        </w:rPr>
        <w:t xml:space="preserve"> of </w:t>
      </w:r>
      <w:r w:rsidRPr="00181265">
        <w:rPr>
          <w:bCs/>
          <w:sz w:val="28"/>
          <w:lang w:val="uk-UA"/>
        </w:rPr>
        <w:t>Veterinary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Transfusion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Medicine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and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Blood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Banking</w:t>
      </w:r>
      <w:r w:rsidRPr="00181265">
        <w:rPr>
          <w:bCs/>
          <w:sz w:val="28"/>
          <w:lang w:val="uk-UA"/>
        </w:rPr>
        <w:t xml:space="preserve">. 2016. Р.387. </w:t>
      </w:r>
    </w:p>
    <w:p w:rsidR="00AF039A" w:rsidRPr="00181265" w:rsidP="00EE2945" w14:paraId="01510E8A" w14:textId="5CA936AC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 w:val="28"/>
          <w:lang w:val="uk-UA"/>
        </w:rPr>
      </w:pPr>
      <w:r w:rsidRPr="00181265">
        <w:rPr>
          <w:bCs/>
          <w:sz w:val="28"/>
          <w:lang w:val="uk-UA"/>
        </w:rPr>
        <w:t>Ouner</w:t>
      </w:r>
      <w:r w:rsidRPr="00181265">
        <w:rPr>
          <w:bCs/>
          <w:sz w:val="28"/>
          <w:lang w:val="uk-UA"/>
        </w:rPr>
        <w:t xml:space="preserve"> A.F., </w:t>
      </w:r>
      <w:r w:rsidRPr="00181265">
        <w:rPr>
          <w:bCs/>
          <w:sz w:val="28"/>
          <w:lang w:val="uk-UA"/>
        </w:rPr>
        <w:t>Kennet</w:t>
      </w:r>
      <w:r w:rsidRPr="00181265">
        <w:rPr>
          <w:bCs/>
          <w:sz w:val="28"/>
          <w:lang w:val="uk-UA"/>
        </w:rPr>
        <w:t xml:space="preserve"> B.M. </w:t>
      </w:r>
      <w:r w:rsidRPr="00181265">
        <w:rPr>
          <w:bCs/>
          <w:sz w:val="28"/>
          <w:lang w:val="uk-UA"/>
        </w:rPr>
        <w:t>et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al</w:t>
      </w:r>
      <w:r w:rsidRPr="00181265">
        <w:rPr>
          <w:bCs/>
          <w:sz w:val="28"/>
          <w:lang w:val="uk-UA"/>
        </w:rPr>
        <w:t xml:space="preserve">. </w:t>
      </w:r>
      <w:r w:rsidRPr="00181265">
        <w:rPr>
          <w:bCs/>
          <w:sz w:val="28"/>
          <w:lang w:val="uk-UA"/>
        </w:rPr>
        <w:t>Human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Physiology</w:t>
      </w:r>
      <w:r w:rsidRPr="00181265">
        <w:rPr>
          <w:bCs/>
          <w:sz w:val="28"/>
          <w:lang w:val="uk-UA"/>
        </w:rPr>
        <w:t xml:space="preserve">. </w:t>
      </w:r>
      <w:r w:rsidRPr="00181265">
        <w:rPr>
          <w:bCs/>
          <w:sz w:val="28"/>
          <w:lang w:val="uk-UA"/>
        </w:rPr>
        <w:t>Vol</w:t>
      </w:r>
      <w:r w:rsidRPr="00181265">
        <w:rPr>
          <w:bCs/>
          <w:sz w:val="28"/>
          <w:lang w:val="uk-UA"/>
        </w:rPr>
        <w:t xml:space="preserve">. 4. </w:t>
      </w:r>
      <w:r w:rsidRPr="00181265">
        <w:rPr>
          <w:bCs/>
          <w:sz w:val="28"/>
          <w:lang w:val="uk-UA"/>
        </w:rPr>
        <w:t>Tissue</w:t>
      </w:r>
      <w:r w:rsidRPr="00181265">
        <w:rPr>
          <w:bCs/>
          <w:sz w:val="28"/>
          <w:lang w:val="uk-UA"/>
        </w:rPr>
        <w:t xml:space="preserve"> </w:t>
      </w:r>
      <w:r w:rsidRPr="00181265">
        <w:rPr>
          <w:bCs/>
          <w:sz w:val="28"/>
          <w:lang w:val="uk-UA"/>
        </w:rPr>
        <w:t>Blood</w:t>
      </w:r>
      <w:r w:rsidRPr="00181265">
        <w:rPr>
          <w:bCs/>
          <w:sz w:val="28"/>
          <w:lang w:val="uk-UA"/>
        </w:rPr>
        <w:t xml:space="preserve">. </w:t>
      </w:r>
      <w:r w:rsidRPr="00181265">
        <w:rPr>
          <w:bCs/>
          <w:sz w:val="28"/>
          <w:lang w:val="uk-UA"/>
        </w:rPr>
        <w:t>London</w:t>
      </w:r>
      <w:r w:rsidRPr="00181265">
        <w:rPr>
          <w:bCs/>
          <w:sz w:val="28"/>
          <w:lang w:val="uk-UA"/>
        </w:rPr>
        <w:t xml:space="preserve">: QSS, 2003. – P. 97–232.  </w:t>
      </w:r>
    </w:p>
    <w:p w:rsidR="00EE2945" w:rsidRPr="00181265" w:rsidP="008E67AD" w14:paraId="03715B65" w14:textId="0079CDCC">
      <w:pPr>
        <w:tabs>
          <w:tab w:val="left" w:pos="1134"/>
        </w:tabs>
        <w:spacing w:line="276" w:lineRule="auto"/>
        <w:ind w:firstLine="709"/>
        <w:jc w:val="center"/>
        <w:rPr>
          <w:bCs/>
          <w:sz w:val="28"/>
          <w:lang w:val="uk-UA"/>
        </w:rPr>
      </w:pPr>
    </w:p>
    <w:p w:rsidR="002A4E57" w:rsidRPr="00181265" w:rsidP="008E67AD" w14:paraId="2219DE85" w14:textId="034B8671">
      <w:pPr>
        <w:tabs>
          <w:tab w:val="left" w:pos="1134"/>
        </w:tabs>
        <w:spacing w:line="276" w:lineRule="auto"/>
        <w:ind w:firstLine="709"/>
        <w:jc w:val="center"/>
        <w:rPr>
          <w:i/>
          <w:iCs/>
          <w:sz w:val="28"/>
          <w:szCs w:val="28"/>
          <w:lang w:val="uk-UA"/>
        </w:rPr>
      </w:pPr>
      <w:r w:rsidRPr="00181265">
        <w:rPr>
          <w:b/>
          <w:i/>
          <w:iCs/>
          <w:sz w:val="28"/>
          <w:szCs w:val="28"/>
          <w:lang w:val="uk-UA"/>
        </w:rPr>
        <w:t>Інформаційні ресурси</w:t>
      </w:r>
    </w:p>
    <w:p w:rsidR="00EE2945" w:rsidRPr="00181265" w:rsidP="008E67AD" w14:paraId="0F3577D1" w14:textId="36D37C5D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5" w:history="1">
        <w:r w:rsidRPr="00181265">
          <w:rPr>
            <w:rStyle w:val="Hyperlink"/>
            <w:sz w:val="28"/>
            <w:szCs w:val="28"/>
            <w:lang w:val="uk-UA"/>
          </w:rPr>
          <w:t>https://www.vetsurgeryonline.com/</w:t>
        </w:r>
      </w:hyperlink>
      <w:r w:rsidRPr="00181265">
        <w:rPr>
          <w:sz w:val="28"/>
          <w:szCs w:val="28"/>
          <w:lang w:val="uk-UA"/>
        </w:rPr>
        <w:t xml:space="preserve"> </w:t>
      </w:r>
    </w:p>
    <w:p w:rsidR="00633006" w:rsidRPr="00181265" w:rsidP="008E67AD" w14:paraId="48554D91" w14:textId="49C11452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6">
        <w:r w:rsidRPr="00181265" w:rsidR="002A4E57">
          <w:rPr>
            <w:sz w:val="28"/>
            <w:szCs w:val="28"/>
            <w:u w:val="single" w:color="000000"/>
            <w:lang w:val="uk-UA"/>
          </w:rPr>
          <w:t>http://www.nbuv.gov.ua/</w:t>
        </w:r>
      </w:hyperlink>
      <w:hyperlink r:id="rId6">
        <w:r w:rsidRPr="00181265" w:rsidR="002A4E57">
          <w:rPr>
            <w:sz w:val="28"/>
            <w:szCs w:val="28"/>
            <w:lang w:val="uk-UA"/>
          </w:rPr>
          <w:t xml:space="preserve"> </w:t>
        </w:r>
      </w:hyperlink>
      <w:r w:rsidRPr="00181265" w:rsidR="002A4E57">
        <w:rPr>
          <w:sz w:val="28"/>
          <w:szCs w:val="28"/>
          <w:lang w:val="uk-UA"/>
        </w:rPr>
        <w:t>– Національна бібліотека України імені В.І. Верна</w:t>
      </w:r>
      <w:r w:rsidRPr="00181265" w:rsidR="002A4E57">
        <w:rPr>
          <w:sz w:val="28"/>
          <w:lang w:val="uk-UA"/>
        </w:rPr>
        <w:t xml:space="preserve">дського </w:t>
      </w:r>
    </w:p>
    <w:sectPr w:rsidSect="00FC4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946" w:left="1985" w:header="720" w:footer="65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986395553"/>
      <w:docPartObj>
        <w:docPartGallery w:val="Page Numbers (Bottom of Page)"/>
        <w:docPartUnique/>
      </w:docPartObj>
    </w:sdtPr>
    <w:sdtContent>
      <w:p w:rsidR="004574D3" w:rsidP="00F26F55" w14:paraId="01CA74E8" w14:textId="7177A0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4574D3" w:rsidP="004574D3" w14:paraId="41B6182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1255900033"/>
      <w:docPartObj>
        <w:docPartGallery w:val="Page Numbers (Bottom of Page)"/>
        <w:docPartUnique/>
      </w:docPartObj>
    </w:sdtPr>
    <w:sdtContent>
      <w:p w:rsidR="004574D3" w:rsidP="00F26F55" w14:paraId="6A5F13DF" w14:textId="792CF9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574D3" w:rsidP="004574D3" w14:paraId="0F73D92C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0" type="#_x0000_t75" style="width:453.5pt;height:323.8pt;margin-top:0;margin-left:0;mso-position-horizontal:center;mso-position-horizontal-relative:margin;mso-position-vertical:center;mso-position-vertical-relative:margin;position:absolute;z-index:-251657216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width:453.5pt;height:323.8pt;margin-top:0;margin-left:0;mso-position-horizontal:center;mso-position-horizontal-relative:margin;mso-position-vertical:center;mso-position-vertical-relative:margin;position:absolute;z-index:-251656192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49" type="#_x0000_t75" style="width:453.5pt;height:323.8pt;margin-top:0;margin-left:0;mso-position-horizontal:center;mso-position-horizontal-relative:margin;mso-position-vertical:center;mso-position-vertical-relative:margin;position:absolute;z-index:-251658240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96B91"/>
    <w:multiLevelType w:val="hybridMultilevel"/>
    <w:tmpl w:val="CF349092"/>
    <w:lvl w:ilvl="0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E44B0"/>
    <w:multiLevelType w:val="hybridMultilevel"/>
    <w:tmpl w:val="C46275DC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044AE"/>
    <w:multiLevelType w:val="hybridMultilevel"/>
    <w:tmpl w:val="0082D78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06763"/>
    <w:multiLevelType w:val="hybridMultilevel"/>
    <w:tmpl w:val="14BA9158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5B0266"/>
    <w:multiLevelType w:val="hybridMultilevel"/>
    <w:tmpl w:val="7736E1A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900FA"/>
    <w:multiLevelType w:val="hybridMultilevel"/>
    <w:tmpl w:val="35E62438"/>
    <w:lvl w:ilvl="0">
      <w:start w:val="3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205EB2"/>
    <w:multiLevelType w:val="hybridMultilevel"/>
    <w:tmpl w:val="43C8B41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FD5AEF"/>
    <w:multiLevelType w:val="hybridMultilevel"/>
    <w:tmpl w:val="9EF229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14F6F"/>
    <w:multiLevelType w:val="hybridMultilevel"/>
    <w:tmpl w:val="5972CC2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274A2E"/>
    <w:multiLevelType w:val="hybridMultilevel"/>
    <w:tmpl w:val="32F069E6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102D4A"/>
    <w:multiLevelType w:val="hybridMultilevel"/>
    <w:tmpl w:val="DD9A09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595FF0"/>
    <w:multiLevelType w:val="hybridMultilevel"/>
    <w:tmpl w:val="A11AFFD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AC1E28"/>
    <w:multiLevelType w:val="hybridMultilevel"/>
    <w:tmpl w:val="26AE58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5010F"/>
    <w:multiLevelType w:val="multilevel"/>
    <w:tmpl w:val="73DC3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236639B1"/>
    <w:multiLevelType w:val="hybridMultilevel"/>
    <w:tmpl w:val="FA482E44"/>
    <w:lvl w:ilvl="0">
      <w:start w:val="1"/>
      <w:numFmt w:val="bullet"/>
      <w:lvlText w:val="-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D70008"/>
    <w:multiLevelType w:val="hybridMultilevel"/>
    <w:tmpl w:val="BF3874C4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0B408B"/>
    <w:multiLevelType w:val="hybridMultilevel"/>
    <w:tmpl w:val="8F8A0E9C"/>
    <w:lvl w:ilvl="0">
      <w:start w:val="10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117703"/>
    <w:multiLevelType w:val="multilevel"/>
    <w:tmpl w:val="FDA40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2A2205A9"/>
    <w:multiLevelType w:val="hybridMultilevel"/>
    <w:tmpl w:val="A3F0AC2A"/>
    <w:lvl w:ilvl="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323BE4"/>
    <w:multiLevelType w:val="hybridMultilevel"/>
    <w:tmpl w:val="D94CECA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B04EDF"/>
    <w:multiLevelType w:val="hybridMultilevel"/>
    <w:tmpl w:val="1EF26A3C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7D78A3"/>
    <w:multiLevelType w:val="hybridMultilevel"/>
    <w:tmpl w:val="8A066A9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8E2F7A"/>
    <w:multiLevelType w:val="hybridMultilevel"/>
    <w:tmpl w:val="4ADEB2BE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E27452"/>
    <w:multiLevelType w:val="hybridMultilevel"/>
    <w:tmpl w:val="993E8F3C"/>
    <w:lvl w:ilvl="0">
      <w:start w:val="15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0C7F7E"/>
    <w:multiLevelType w:val="hybridMultilevel"/>
    <w:tmpl w:val="9F447C6A"/>
    <w:lvl w:ilvl="0">
      <w:start w:val="2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7F06B5"/>
    <w:multiLevelType w:val="hybridMultilevel"/>
    <w:tmpl w:val="D0108F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40CA2"/>
    <w:multiLevelType w:val="hybridMultilevel"/>
    <w:tmpl w:val="163A19CA"/>
    <w:lvl w:ilvl="0">
      <w:start w:val="0"/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3C24C97"/>
    <w:multiLevelType w:val="hybridMultilevel"/>
    <w:tmpl w:val="125007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2B509E"/>
    <w:multiLevelType w:val="hybridMultilevel"/>
    <w:tmpl w:val="F98271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DB6DFF"/>
    <w:multiLevelType w:val="hybridMultilevel"/>
    <w:tmpl w:val="ECF4D72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716219"/>
    <w:multiLevelType w:val="hybridMultilevel"/>
    <w:tmpl w:val="450661E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660009"/>
    <w:multiLevelType w:val="multilevel"/>
    <w:tmpl w:val="F9CA4E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77375DC2"/>
    <w:multiLevelType w:val="hybridMultilevel"/>
    <w:tmpl w:val="5BFA169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6F0A78"/>
    <w:multiLevelType w:val="hybridMultilevel"/>
    <w:tmpl w:val="81FC1A76"/>
    <w:lvl w:ilvl="0">
      <w:start w:val="15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DE6224"/>
    <w:multiLevelType w:val="hybridMultilevel"/>
    <w:tmpl w:val="76227E06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3A0E9F"/>
    <w:multiLevelType w:val="hybridMultilevel"/>
    <w:tmpl w:val="3F3C7296"/>
    <w:lvl w:ilvl="0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726022"/>
    <w:multiLevelType w:val="hybridMultilevel"/>
    <w:tmpl w:val="6D1068D2"/>
    <w:lvl w:ilvl="0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488614">
    <w:abstractNumId w:val="14"/>
  </w:num>
  <w:num w:numId="2" w16cid:durableId="1871841293">
    <w:abstractNumId w:val="1"/>
  </w:num>
  <w:num w:numId="3" w16cid:durableId="364912971">
    <w:abstractNumId w:val="34"/>
  </w:num>
  <w:num w:numId="4" w16cid:durableId="364335323">
    <w:abstractNumId w:val="18"/>
  </w:num>
  <w:num w:numId="5" w16cid:durableId="2026784072">
    <w:abstractNumId w:val="33"/>
  </w:num>
  <w:num w:numId="6" w16cid:durableId="823857393">
    <w:abstractNumId w:val="24"/>
  </w:num>
  <w:num w:numId="7" w16cid:durableId="371999086">
    <w:abstractNumId w:val="36"/>
  </w:num>
  <w:num w:numId="8" w16cid:durableId="928198269">
    <w:abstractNumId w:val="16"/>
  </w:num>
  <w:num w:numId="9" w16cid:durableId="8336157">
    <w:abstractNumId w:val="23"/>
  </w:num>
  <w:num w:numId="10" w16cid:durableId="20741885">
    <w:abstractNumId w:val="5"/>
  </w:num>
  <w:num w:numId="11" w16cid:durableId="2076276634">
    <w:abstractNumId w:val="20"/>
  </w:num>
  <w:num w:numId="12" w16cid:durableId="1044140530">
    <w:abstractNumId w:val="0"/>
  </w:num>
  <w:num w:numId="13" w16cid:durableId="1545096476">
    <w:abstractNumId w:val="15"/>
  </w:num>
  <w:num w:numId="14" w16cid:durableId="433749963">
    <w:abstractNumId w:val="19"/>
  </w:num>
  <w:num w:numId="15" w16cid:durableId="1852796932">
    <w:abstractNumId w:val="30"/>
  </w:num>
  <w:num w:numId="16" w16cid:durableId="1762067109">
    <w:abstractNumId w:val="22"/>
  </w:num>
  <w:num w:numId="17" w16cid:durableId="705909077">
    <w:abstractNumId w:val="32"/>
  </w:num>
  <w:num w:numId="18" w16cid:durableId="1705907942">
    <w:abstractNumId w:val="9"/>
  </w:num>
  <w:num w:numId="19" w16cid:durableId="444154488">
    <w:abstractNumId w:val="6"/>
  </w:num>
  <w:num w:numId="20" w16cid:durableId="1703632791">
    <w:abstractNumId w:val="21"/>
  </w:num>
  <w:num w:numId="21" w16cid:durableId="404760877">
    <w:abstractNumId w:val="3"/>
  </w:num>
  <w:num w:numId="22" w16cid:durableId="712313311">
    <w:abstractNumId w:val="8"/>
  </w:num>
  <w:num w:numId="23" w16cid:durableId="1595628071">
    <w:abstractNumId w:val="11"/>
  </w:num>
  <w:num w:numId="24" w16cid:durableId="231355376">
    <w:abstractNumId w:val="25"/>
  </w:num>
  <w:num w:numId="25" w16cid:durableId="1609727984">
    <w:abstractNumId w:val="7"/>
  </w:num>
  <w:num w:numId="26" w16cid:durableId="1090925076">
    <w:abstractNumId w:val="4"/>
  </w:num>
  <w:num w:numId="27" w16cid:durableId="1469283829">
    <w:abstractNumId w:val="28"/>
  </w:num>
  <w:num w:numId="28" w16cid:durableId="1688603380">
    <w:abstractNumId w:val="13"/>
  </w:num>
  <w:num w:numId="29" w16cid:durableId="1654719051">
    <w:abstractNumId w:val="17"/>
  </w:num>
  <w:num w:numId="30" w16cid:durableId="791097644">
    <w:abstractNumId w:val="31"/>
  </w:num>
  <w:num w:numId="31" w16cid:durableId="1501046567">
    <w:abstractNumId w:val="2"/>
  </w:num>
  <w:num w:numId="32" w16cid:durableId="321928717">
    <w:abstractNumId w:val="10"/>
  </w:num>
  <w:num w:numId="33" w16cid:durableId="1012730208">
    <w:abstractNumId w:val="35"/>
  </w:num>
  <w:num w:numId="34" w16cid:durableId="1167598836">
    <w:abstractNumId w:val="29"/>
  </w:num>
  <w:num w:numId="35" w16cid:durableId="1357269129">
    <w:abstractNumId w:val="27"/>
  </w:num>
  <w:num w:numId="36" w16cid:durableId="27146763">
    <w:abstractNumId w:val="26"/>
  </w:num>
  <w:num w:numId="37" w16cid:durableId="381177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6C"/>
    <w:rsid w:val="00066427"/>
    <w:rsid w:val="000A56A3"/>
    <w:rsid w:val="000B6A35"/>
    <w:rsid w:val="000D554B"/>
    <w:rsid w:val="00181265"/>
    <w:rsid w:val="00213D3A"/>
    <w:rsid w:val="00242C39"/>
    <w:rsid w:val="002556EF"/>
    <w:rsid w:val="00293BC8"/>
    <w:rsid w:val="002A4E57"/>
    <w:rsid w:val="002B21F1"/>
    <w:rsid w:val="00305295"/>
    <w:rsid w:val="003F08E0"/>
    <w:rsid w:val="00406991"/>
    <w:rsid w:val="00412617"/>
    <w:rsid w:val="004574D3"/>
    <w:rsid w:val="004D4B99"/>
    <w:rsid w:val="005560E4"/>
    <w:rsid w:val="00560BD5"/>
    <w:rsid w:val="0056264A"/>
    <w:rsid w:val="0059099E"/>
    <w:rsid w:val="005B5887"/>
    <w:rsid w:val="005F6FAD"/>
    <w:rsid w:val="006019B0"/>
    <w:rsid w:val="00633006"/>
    <w:rsid w:val="00642C0A"/>
    <w:rsid w:val="00647B2F"/>
    <w:rsid w:val="00657B2A"/>
    <w:rsid w:val="00670C11"/>
    <w:rsid w:val="006A497B"/>
    <w:rsid w:val="006D4D37"/>
    <w:rsid w:val="006E0906"/>
    <w:rsid w:val="00722EA8"/>
    <w:rsid w:val="00751475"/>
    <w:rsid w:val="007755A4"/>
    <w:rsid w:val="007A0F4D"/>
    <w:rsid w:val="00811CB2"/>
    <w:rsid w:val="008223AE"/>
    <w:rsid w:val="008305D7"/>
    <w:rsid w:val="0083692D"/>
    <w:rsid w:val="008C00BB"/>
    <w:rsid w:val="008C7C9A"/>
    <w:rsid w:val="008E67AD"/>
    <w:rsid w:val="008F7B91"/>
    <w:rsid w:val="00916680"/>
    <w:rsid w:val="00936047"/>
    <w:rsid w:val="00963FAE"/>
    <w:rsid w:val="00A235B1"/>
    <w:rsid w:val="00A30E25"/>
    <w:rsid w:val="00A71041"/>
    <w:rsid w:val="00A87FA8"/>
    <w:rsid w:val="00A94FEF"/>
    <w:rsid w:val="00AC5DCF"/>
    <w:rsid w:val="00AE0667"/>
    <w:rsid w:val="00AF039A"/>
    <w:rsid w:val="00B0340C"/>
    <w:rsid w:val="00B1307B"/>
    <w:rsid w:val="00B43D2A"/>
    <w:rsid w:val="00B55C45"/>
    <w:rsid w:val="00B71E03"/>
    <w:rsid w:val="00B75932"/>
    <w:rsid w:val="00BD440F"/>
    <w:rsid w:val="00BF54CE"/>
    <w:rsid w:val="00BF5622"/>
    <w:rsid w:val="00C5608D"/>
    <w:rsid w:val="00C6398E"/>
    <w:rsid w:val="00C7756B"/>
    <w:rsid w:val="00CB72BD"/>
    <w:rsid w:val="00CD2B4A"/>
    <w:rsid w:val="00D02A8E"/>
    <w:rsid w:val="00D46FB3"/>
    <w:rsid w:val="00D85187"/>
    <w:rsid w:val="00DD5498"/>
    <w:rsid w:val="00E05451"/>
    <w:rsid w:val="00E54CC5"/>
    <w:rsid w:val="00E717A0"/>
    <w:rsid w:val="00EB277E"/>
    <w:rsid w:val="00EE2945"/>
    <w:rsid w:val="00F05A39"/>
    <w:rsid w:val="00F26F55"/>
    <w:rsid w:val="00F3006C"/>
    <w:rsid w:val="00F5073D"/>
    <w:rsid w:val="00F64E1B"/>
    <w:rsid w:val="00F94035"/>
    <w:rsid w:val="00FC4864"/>
    <w:rsid w:val="00FD423B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58421D"/>
  <w15:docId w15:val="{6D36FAF0-3C1C-D740-A988-7FFAB87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0BB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1"/>
    <w:uiPriority w:val="9"/>
    <w:qFormat/>
    <w:pPr>
      <w:keepNext/>
      <w:keepLines/>
      <w:spacing w:line="259" w:lineRule="auto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2"/>
    <w:uiPriority w:val="9"/>
    <w:unhideWhenUsed/>
    <w:qFormat/>
    <w:pPr>
      <w:keepNext/>
      <w:keepLines/>
      <w:spacing w:after="30" w:line="259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3"/>
    <w:uiPriority w:val="9"/>
    <w:unhideWhenUsed/>
    <w:qFormat/>
    <w:pPr>
      <w:keepNext/>
      <w:keepLines/>
      <w:spacing w:after="11" w:line="271" w:lineRule="auto"/>
      <w:ind w:left="10" w:right="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">
    <w:name w:val="Заголовок 2 Знак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0E4"/>
    <w:pPr>
      <w:ind w:left="720"/>
      <w:contextualSpacing/>
    </w:pPr>
  </w:style>
  <w:style w:type="paragraph" w:customStyle="1" w:styleId="a">
    <w:name w:val="Назва документа"/>
    <w:basedOn w:val="Normal"/>
    <w:next w:val="Normal"/>
    <w:rsid w:val="005560E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rsid w:val="005560E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10">
    <w:name w:val="Основной текст|1_"/>
    <w:basedOn w:val="DefaultParagraphFont"/>
    <w:link w:val="12"/>
    <w:rsid w:val="00D85187"/>
    <w:rPr>
      <w:sz w:val="28"/>
      <w:szCs w:val="28"/>
    </w:rPr>
  </w:style>
  <w:style w:type="character" w:customStyle="1" w:styleId="20">
    <w:name w:val="Основной текст|2_"/>
    <w:basedOn w:val="DefaultParagraphFont"/>
    <w:link w:val="22"/>
    <w:rsid w:val="00D85187"/>
  </w:style>
  <w:style w:type="character" w:customStyle="1" w:styleId="21">
    <w:name w:val="Заголовок №2|1_"/>
    <w:basedOn w:val="DefaultParagraphFont"/>
    <w:link w:val="210"/>
    <w:rsid w:val="00D85187"/>
    <w:rPr>
      <w:b/>
      <w:bCs/>
      <w:sz w:val="28"/>
      <w:szCs w:val="28"/>
    </w:rPr>
  </w:style>
  <w:style w:type="character" w:customStyle="1" w:styleId="11">
    <w:name w:val="Другое|1_"/>
    <w:basedOn w:val="DefaultParagraphFont"/>
    <w:link w:val="13"/>
    <w:rsid w:val="00D85187"/>
  </w:style>
  <w:style w:type="paragraph" w:customStyle="1" w:styleId="12">
    <w:name w:val="Основной текст|1"/>
    <w:basedOn w:val="Normal"/>
    <w:link w:val="10"/>
    <w:rsid w:val="00D85187"/>
    <w:pPr>
      <w:widowControl w:val="0"/>
      <w:ind w:firstLine="400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22">
    <w:name w:val="Основной текст|2"/>
    <w:basedOn w:val="Normal"/>
    <w:link w:val="20"/>
    <w:rsid w:val="00D85187"/>
    <w:pPr>
      <w:widowControl w:val="0"/>
      <w:spacing w:line="283" w:lineRule="auto"/>
    </w:pPr>
    <w:rPr>
      <w:rFonts w:asciiTheme="minorHAnsi" w:eastAsiaTheme="minorEastAsia" w:hAnsiTheme="minorHAnsi" w:cstheme="minorBidi"/>
    </w:rPr>
  </w:style>
  <w:style w:type="paragraph" w:customStyle="1" w:styleId="210">
    <w:name w:val="Заголовок №2|1"/>
    <w:basedOn w:val="Normal"/>
    <w:link w:val="21"/>
    <w:rsid w:val="00D85187"/>
    <w:pPr>
      <w:widowControl w:val="0"/>
      <w:spacing w:after="280"/>
      <w:jc w:val="center"/>
      <w:outlineLvl w:val="1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3">
    <w:name w:val="Другое|1"/>
    <w:basedOn w:val="Normal"/>
    <w:link w:val="11"/>
    <w:rsid w:val="00D85187"/>
    <w:pPr>
      <w:widowControl w:val="0"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a0"/>
    <w:uiPriority w:val="99"/>
    <w:unhideWhenUsed/>
    <w:rsid w:val="004574D3"/>
    <w:pPr>
      <w:tabs>
        <w:tab w:val="center" w:pos="4513"/>
        <w:tab w:val="right" w:pos="9026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74D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574D3"/>
  </w:style>
  <w:style w:type="character" w:styleId="Hyperlink">
    <w:name w:val="Hyperlink"/>
    <w:basedOn w:val="DefaultParagraphFont"/>
    <w:uiPriority w:val="99"/>
    <w:unhideWhenUsed/>
    <w:rsid w:val="008E6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AD"/>
    <w:rPr>
      <w:color w:val="605E5C"/>
      <w:shd w:val="clear" w:color="auto" w:fill="E1DFDD"/>
    </w:rPr>
  </w:style>
  <w:style w:type="paragraph" w:styleId="Header">
    <w:name w:val="header"/>
    <w:basedOn w:val="Normal"/>
    <w:link w:val="a1"/>
    <w:uiPriority w:val="99"/>
    <w:unhideWhenUsed/>
    <w:rsid w:val="00FC4864"/>
    <w:pPr>
      <w:tabs>
        <w:tab w:val="center" w:pos="4513"/>
        <w:tab w:val="right" w:pos="9026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C4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etsurgeryonline.com/" TargetMode="External" /><Relationship Id="rId6" Type="http://schemas.openxmlformats.org/officeDocument/2006/relationships/hyperlink" Target="http://www.nbuv.gov.ua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A15F8-2621-9A48-B9BE-13ACF457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~You Life~</dc:creator>
  <cp:lastModifiedBy>Microsoft Office User</cp:lastModifiedBy>
  <cp:revision>9</cp:revision>
  <dcterms:created xsi:type="dcterms:W3CDTF">2024-03-02T10:57:00Z</dcterms:created>
  <dcterms:modified xsi:type="dcterms:W3CDTF">2024-03-03T07:59:00Z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http://www.zotero.org/styles/apa</vt:lpwstr>
  </property>
  <property fmtid="{D5CDD505-2E9C-101B-9397-08002B2CF9AE}" pid="4" name="Mendeley Recent Style Id 2_1">
    <vt:lpwstr>http://www.zotero.org/styles/american-sociological-association</vt:lpwstr>
  </property>
  <property fmtid="{D5CDD505-2E9C-101B-9397-08002B2CF9AE}" pid="5" name="Mendeley Recent Style Id 3_1">
    <vt:lpwstr>http://www.zotero.org/styles/chicago-author-date</vt:lpwstr>
  </property>
  <property fmtid="{D5CDD505-2E9C-101B-9397-08002B2CF9AE}" pid="6" name="Mendeley Recent Style Id 4_1">
    <vt:lpwstr>http://www.zotero.org/styles/harvard-cite-them-right</vt:lpwstr>
  </property>
  <property fmtid="{D5CDD505-2E9C-101B-9397-08002B2CF9AE}" pid="7" name="Mendeley Recent Style Id 5_1">
    <vt:lpwstr>http://www.zotero.org/styles/ieee</vt:lpwstr>
  </property>
  <property fmtid="{D5CDD505-2E9C-101B-9397-08002B2CF9AE}" pid="8" name="Mendeley Recent Style Id 6_1">
    <vt:lpwstr>http://www.zotero.org/styles/modern-humanities-research-association</vt:lpwstr>
  </property>
  <property fmtid="{D5CDD505-2E9C-101B-9397-08002B2CF9AE}" pid="9" name="Mendeley Recent Style Id 7_1">
    <vt:lpwstr>http://www.zotero.org/styles/national-library-of-medicine</vt:lpwstr>
  </property>
  <property fmtid="{D5CDD505-2E9C-101B-9397-08002B2CF9AE}" pid="10" name="Mendeley Recent Style Id 8_1">
    <vt:lpwstr>http://www.zotero.org/styles/nature</vt:lpwstr>
  </property>
  <property fmtid="{D5CDD505-2E9C-101B-9397-08002B2CF9AE}" pid="11" name="Mendeley Recent Style Id 9_1">
    <vt:lpwstr>http://www.zotero.org/styles/vancouver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Name 5_1">
    <vt:lpwstr>IEEE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Name 7_1">
    <vt:lpwstr>National Library of Medicine</vt:lpwstr>
  </property>
  <property fmtid="{D5CDD505-2E9C-101B-9397-08002B2CF9AE}" pid="20" name="Mendeley Recent Style Name 8_1">
    <vt:lpwstr>Nature</vt:lpwstr>
  </property>
  <property fmtid="{D5CDD505-2E9C-101B-9397-08002B2CF9AE}" pid="21" name="Mendeley Recent Style Name 9_1">
    <vt:lpwstr>Vancouver</vt:lpwstr>
  </property>
</Properties>
</file>